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085"/>
        <w:gridCol w:w="4214"/>
      </w:tblGrid>
      <w:tr w:rsidR="009805F0" w:rsidTr="007D79D8">
        <w:trPr>
          <w:trHeight w:val="915"/>
        </w:trPr>
        <w:tc>
          <w:tcPr>
            <w:tcW w:w="5644" w:type="dxa"/>
            <w:vAlign w:val="center"/>
          </w:tcPr>
          <w:p w:rsidR="00AD2065" w:rsidRDefault="00AD2065" w:rsidP="00AA6D2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w:t>
            </w:r>
            <w:r w:rsidR="00AA6D2C">
              <w:rPr>
                <w:rFonts w:asciiTheme="majorHAnsi" w:eastAsiaTheme="majorEastAsia" w:hAnsiTheme="majorHAnsi" w:cstheme="majorBidi"/>
                <w:sz w:val="36"/>
                <w:szCs w:val="36"/>
              </w:rPr>
              <w:t>5</w:t>
            </w:r>
            <w:r>
              <w:rPr>
                <w:rFonts w:asciiTheme="majorHAnsi" w:eastAsiaTheme="majorEastAsia" w:hAnsiTheme="majorHAnsi" w:cstheme="majorBidi"/>
                <w:sz w:val="36"/>
                <w:szCs w:val="36"/>
              </w:rPr>
              <w:t xml:space="preserve"> </w:t>
            </w:r>
            <w:r w:rsidR="00AA6D2C">
              <w:rPr>
                <w:rFonts w:asciiTheme="majorHAnsi" w:eastAsiaTheme="majorEastAsia" w:hAnsiTheme="majorHAnsi" w:cstheme="majorBidi"/>
                <w:sz w:val="36"/>
                <w:szCs w:val="36"/>
              </w:rPr>
              <w:t>OCAK</w:t>
            </w:r>
            <w:r w:rsidR="00F175B2">
              <w:rPr>
                <w:rFonts w:asciiTheme="majorHAnsi" w:eastAsiaTheme="majorEastAsia" w:hAnsiTheme="majorHAnsi" w:cstheme="majorBidi"/>
                <w:sz w:val="36"/>
                <w:szCs w:val="36"/>
              </w:rPr>
              <w:t>-</w:t>
            </w:r>
            <w:r w:rsidR="00AA6D2C">
              <w:rPr>
                <w:rFonts w:asciiTheme="majorHAnsi" w:eastAsiaTheme="majorEastAsia" w:hAnsiTheme="majorHAnsi" w:cstheme="majorBidi"/>
                <w:sz w:val="36"/>
                <w:szCs w:val="36"/>
              </w:rPr>
              <w:t>MART</w:t>
            </w:r>
            <w:r w:rsidR="00F175B2">
              <w:rPr>
                <w:rFonts w:asciiTheme="majorHAnsi" w:eastAsiaTheme="majorEastAsia" w:hAnsiTheme="majorHAnsi" w:cstheme="majorBidi"/>
                <w:sz w:val="36"/>
                <w:szCs w:val="36"/>
              </w:rPr>
              <w:t xml:space="preserve"> DÖNEMİ</w:t>
            </w:r>
            <w:r>
              <w:rPr>
                <w:rFonts w:asciiTheme="majorHAnsi" w:eastAsiaTheme="majorEastAsia" w:hAnsiTheme="majorHAnsi" w:cstheme="majorBidi"/>
                <w:sz w:val="36"/>
                <w:szCs w:val="36"/>
              </w:rPr>
              <w:t xml:space="preserve"> </w:t>
            </w:r>
            <w:r w:rsidR="00B42947">
              <w:rPr>
                <w:rFonts w:asciiTheme="majorHAnsi" w:eastAsiaTheme="majorEastAsia" w:hAnsiTheme="majorHAnsi" w:cstheme="majorBidi"/>
                <w:sz w:val="36"/>
                <w:szCs w:val="36"/>
              </w:rPr>
              <w:t>BANKA KREDİLERİ EĞİLİM ANKETİ</w:t>
            </w:r>
          </w:p>
        </w:tc>
        <w:tc>
          <w:tcPr>
            <w:tcW w:w="4678" w:type="dxa"/>
          </w:tcPr>
          <w:p w:rsidR="00AD2065" w:rsidRDefault="00AA6D2C" w:rsidP="00AA6D2C">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10</w:t>
            </w:r>
            <w:r w:rsidR="00B42947">
              <w:rPr>
                <w:rFonts w:asciiTheme="majorHAnsi" w:eastAsiaTheme="majorEastAsia" w:hAnsiTheme="majorHAnsi" w:cstheme="majorBidi"/>
                <w:bCs/>
                <w:sz w:val="28"/>
                <w:szCs w:val="36"/>
              </w:rPr>
              <w:t xml:space="preserve"> </w:t>
            </w:r>
            <w:r>
              <w:rPr>
                <w:rFonts w:asciiTheme="majorHAnsi" w:eastAsiaTheme="majorEastAsia" w:hAnsiTheme="majorHAnsi" w:cstheme="majorBidi"/>
                <w:bCs/>
                <w:sz w:val="28"/>
                <w:szCs w:val="36"/>
              </w:rPr>
              <w:t>Nisan</w:t>
            </w:r>
            <w:r w:rsidR="00AD2065">
              <w:rPr>
                <w:rFonts w:asciiTheme="majorHAnsi" w:eastAsiaTheme="majorEastAsia" w:hAnsiTheme="majorHAnsi" w:cstheme="majorBidi"/>
                <w:bCs/>
                <w:sz w:val="28"/>
                <w:szCs w:val="36"/>
              </w:rPr>
              <w:t xml:space="preserve"> 201</w:t>
            </w:r>
            <w:r w:rsidR="00B42947">
              <w:rPr>
                <w:rFonts w:asciiTheme="majorHAnsi" w:eastAsiaTheme="majorEastAsia" w:hAnsiTheme="majorHAnsi" w:cstheme="majorBidi"/>
                <w:bCs/>
                <w:sz w:val="28"/>
                <w:szCs w:val="36"/>
              </w:rPr>
              <w:t xml:space="preserve">5 </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14:anchorId="31C8F960" wp14:editId="0613AA13">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2338B9" w:rsidRDefault="00200562" w:rsidP="00635369">
      <w:pPr>
        <w:jc w:val="both"/>
        <w:rPr>
          <w:rFonts w:ascii="Times New Roman" w:hAnsi="Times New Roman" w:cs="Times New Roman"/>
          <w:b/>
          <w:sz w:val="24"/>
          <w:szCs w:val="24"/>
        </w:rPr>
      </w:pPr>
      <w:r>
        <w:rPr>
          <w:rFonts w:ascii="Times New Roman" w:hAnsi="Times New Roman" w:cs="Times New Roman"/>
          <w:b/>
          <w:sz w:val="24"/>
          <w:szCs w:val="24"/>
        </w:rPr>
        <w:t>Banka Kredileri Eğilim A</w:t>
      </w:r>
      <w:r w:rsidR="00B42947" w:rsidRPr="002338B9">
        <w:rPr>
          <w:rFonts w:ascii="Times New Roman" w:hAnsi="Times New Roman" w:cs="Times New Roman"/>
          <w:b/>
          <w:sz w:val="24"/>
          <w:szCs w:val="24"/>
        </w:rPr>
        <w:t>nketi</w:t>
      </w:r>
      <w:r>
        <w:rPr>
          <w:rFonts w:ascii="Times New Roman" w:hAnsi="Times New Roman" w:cs="Times New Roman"/>
          <w:b/>
          <w:sz w:val="24"/>
          <w:szCs w:val="24"/>
        </w:rPr>
        <w:t>’</w:t>
      </w:r>
      <w:r w:rsidR="00B42947" w:rsidRPr="002338B9">
        <w:rPr>
          <w:rFonts w:ascii="Times New Roman" w:hAnsi="Times New Roman" w:cs="Times New Roman"/>
          <w:b/>
          <w:sz w:val="24"/>
          <w:szCs w:val="24"/>
        </w:rPr>
        <w:t>nin 201</w:t>
      </w:r>
      <w:r w:rsidR="00BC61F1">
        <w:rPr>
          <w:rFonts w:ascii="Times New Roman" w:hAnsi="Times New Roman" w:cs="Times New Roman"/>
          <w:b/>
          <w:sz w:val="24"/>
          <w:szCs w:val="24"/>
        </w:rPr>
        <w:t>5</w:t>
      </w:r>
      <w:r w:rsidR="00B42947" w:rsidRPr="002338B9">
        <w:rPr>
          <w:rFonts w:ascii="Times New Roman" w:hAnsi="Times New Roman" w:cs="Times New Roman"/>
          <w:b/>
          <w:sz w:val="24"/>
          <w:szCs w:val="24"/>
        </w:rPr>
        <w:t xml:space="preserve"> yılı </w:t>
      </w:r>
      <w:r w:rsidR="00BC61F1">
        <w:rPr>
          <w:rFonts w:ascii="Times New Roman" w:hAnsi="Times New Roman" w:cs="Times New Roman"/>
          <w:b/>
          <w:sz w:val="24"/>
          <w:szCs w:val="24"/>
        </w:rPr>
        <w:t>ilk</w:t>
      </w:r>
      <w:r w:rsidR="00B42947" w:rsidRPr="002338B9">
        <w:rPr>
          <w:rFonts w:ascii="Times New Roman" w:hAnsi="Times New Roman" w:cs="Times New Roman"/>
          <w:b/>
          <w:sz w:val="24"/>
          <w:szCs w:val="24"/>
        </w:rPr>
        <w:t xml:space="preserve"> çeyrek verileri</w:t>
      </w:r>
      <w:r w:rsidR="00EB586D" w:rsidRPr="002338B9">
        <w:rPr>
          <w:rFonts w:ascii="Times New Roman" w:hAnsi="Times New Roman" w:cs="Times New Roman"/>
          <w:b/>
          <w:sz w:val="24"/>
          <w:szCs w:val="24"/>
        </w:rPr>
        <w:t>,</w:t>
      </w:r>
      <w:r w:rsidR="009805F0" w:rsidRPr="002338B9">
        <w:rPr>
          <w:rFonts w:ascii="Times New Roman" w:hAnsi="Times New Roman" w:cs="Times New Roman"/>
          <w:b/>
          <w:sz w:val="24"/>
          <w:szCs w:val="24"/>
        </w:rPr>
        <w:t xml:space="preserve"> </w:t>
      </w:r>
      <w:r w:rsidR="00EF4E45" w:rsidRPr="002338B9">
        <w:rPr>
          <w:rFonts w:ascii="Times New Roman" w:hAnsi="Times New Roman" w:cs="Times New Roman"/>
          <w:b/>
          <w:sz w:val="24"/>
          <w:szCs w:val="24"/>
        </w:rPr>
        <w:t xml:space="preserve">Türkiye </w:t>
      </w:r>
      <w:r w:rsidR="009805F0" w:rsidRPr="002338B9">
        <w:rPr>
          <w:rFonts w:ascii="Times New Roman" w:hAnsi="Times New Roman" w:cs="Times New Roman"/>
          <w:b/>
          <w:sz w:val="24"/>
          <w:szCs w:val="24"/>
        </w:rPr>
        <w:t xml:space="preserve">Cumhuriyet Merkez Bankası (TCMB) tarafından </w:t>
      </w:r>
      <w:r w:rsidR="00BC61F1">
        <w:rPr>
          <w:rFonts w:ascii="Times New Roman" w:hAnsi="Times New Roman" w:cs="Times New Roman"/>
          <w:b/>
          <w:sz w:val="24"/>
          <w:szCs w:val="24"/>
        </w:rPr>
        <w:t>10</w:t>
      </w:r>
      <w:r w:rsidR="00B42947" w:rsidRPr="002338B9">
        <w:rPr>
          <w:rFonts w:ascii="Times New Roman" w:hAnsi="Times New Roman" w:cs="Times New Roman"/>
          <w:b/>
          <w:sz w:val="24"/>
          <w:szCs w:val="24"/>
        </w:rPr>
        <w:t xml:space="preserve"> </w:t>
      </w:r>
      <w:r w:rsidR="00BC61F1">
        <w:rPr>
          <w:rFonts w:ascii="Times New Roman" w:hAnsi="Times New Roman" w:cs="Times New Roman"/>
          <w:b/>
          <w:sz w:val="24"/>
          <w:szCs w:val="24"/>
        </w:rPr>
        <w:t>Nisan</w:t>
      </w:r>
      <w:r w:rsidR="00B42947" w:rsidRPr="002338B9">
        <w:rPr>
          <w:rFonts w:ascii="Times New Roman" w:hAnsi="Times New Roman" w:cs="Times New Roman"/>
          <w:b/>
          <w:sz w:val="24"/>
          <w:szCs w:val="24"/>
        </w:rPr>
        <w:t xml:space="preserve"> 2015</w:t>
      </w:r>
      <w:r w:rsidR="00EF4E45" w:rsidRPr="002338B9">
        <w:rPr>
          <w:rFonts w:ascii="Times New Roman" w:hAnsi="Times New Roman" w:cs="Times New Roman"/>
          <w:b/>
          <w:sz w:val="24"/>
          <w:szCs w:val="24"/>
        </w:rPr>
        <w:t xml:space="preserve"> tarihinde yayımlandı.</w:t>
      </w:r>
    </w:p>
    <w:p w:rsidR="00B42947" w:rsidRDefault="00B42947" w:rsidP="00635369">
      <w:pPr>
        <w:jc w:val="both"/>
        <w:rPr>
          <w:rFonts w:ascii="Times New Roman" w:hAnsi="Times New Roman" w:cs="Times New Roman"/>
          <w:sz w:val="24"/>
          <w:szCs w:val="24"/>
        </w:rPr>
      </w:pPr>
      <w:r w:rsidRPr="002338B9">
        <w:rPr>
          <w:rFonts w:ascii="Times New Roman" w:hAnsi="Times New Roman" w:cs="Times New Roman"/>
          <w:sz w:val="24"/>
          <w:szCs w:val="24"/>
        </w:rPr>
        <w:t xml:space="preserve">Banka Kredileri Eğilim Anketi, ekonomik büyümenin finansmanında önemli bir görev üstlenen banka kredilerindeki eğilimlerin izlenmesi amacıyla üçer aylık </w:t>
      </w:r>
      <w:proofErr w:type="gramStart"/>
      <w:r w:rsidRPr="002338B9">
        <w:rPr>
          <w:rFonts w:ascii="Times New Roman" w:hAnsi="Times New Roman" w:cs="Times New Roman"/>
          <w:sz w:val="24"/>
          <w:szCs w:val="24"/>
        </w:rPr>
        <w:t>periyotlarla</w:t>
      </w:r>
      <w:proofErr w:type="gramEnd"/>
      <w:r w:rsidRPr="002338B9">
        <w:rPr>
          <w:rFonts w:ascii="Times New Roman" w:hAnsi="Times New Roman" w:cs="Times New Roman"/>
          <w:sz w:val="24"/>
          <w:szCs w:val="24"/>
        </w:rPr>
        <w:t xml:space="preserve"> hazırlanmaktadır. Bu anket ile kredi arzını etkileyen koşullarda gerçekleşmiş ve gerçekleşmesi beklenen değişimler, bu değişimlerde rolü olduğu düşünülen faktörler ve kredi talebinin izlenmesi hedeflenmektedir.</w:t>
      </w:r>
    </w:p>
    <w:p w:rsidR="002338B9" w:rsidRPr="002338B9" w:rsidRDefault="002338B9" w:rsidP="00635369">
      <w:pPr>
        <w:jc w:val="both"/>
        <w:rPr>
          <w:rFonts w:ascii="Times New Roman" w:hAnsi="Times New Roman" w:cs="Times New Roman"/>
          <w:sz w:val="24"/>
          <w:szCs w:val="24"/>
        </w:rPr>
      </w:pPr>
      <w:r>
        <w:rPr>
          <w:rFonts w:ascii="Times New Roman" w:hAnsi="Times New Roman" w:cs="Times New Roman"/>
          <w:sz w:val="24"/>
          <w:szCs w:val="24"/>
        </w:rPr>
        <w:t>Sektör toplam kredilerinin yaklaşık yüzde 80’ini sağlayan ve toplam içinde en yüksek paya sahip ilk 15 bankaya gönderilerek uygulanan ankette yer alan bankaların biri kamu, dokuzu özel, beşi ise yab</w:t>
      </w:r>
      <w:r w:rsidR="00CA0A21">
        <w:rPr>
          <w:rFonts w:ascii="Times New Roman" w:hAnsi="Times New Roman" w:cs="Times New Roman"/>
          <w:sz w:val="24"/>
          <w:szCs w:val="24"/>
        </w:rPr>
        <w:t>ancı sermayeli bankadır. Ankette,</w:t>
      </w:r>
      <w:r>
        <w:rPr>
          <w:rFonts w:ascii="Times New Roman" w:hAnsi="Times New Roman" w:cs="Times New Roman"/>
          <w:sz w:val="24"/>
          <w:szCs w:val="24"/>
        </w:rPr>
        <w:t xml:space="preserve"> </w:t>
      </w:r>
      <w:r w:rsidR="00CA0A21">
        <w:rPr>
          <w:rFonts w:ascii="Times New Roman" w:hAnsi="Times New Roman" w:cs="Times New Roman"/>
          <w:sz w:val="24"/>
          <w:szCs w:val="24"/>
        </w:rPr>
        <w:t>işletmelere kullandırılan krediler ve bireysel krediler için ayrı ayrı olmak üzere, öncelikle kredi standartlarının, kredi koşul ve kurallarının ve kredi talebinin geçmiş aydaki değişim yönü sorulmaktadır. Bunun ardından ise bu değişimi etkileyen faktörlerin önem derecesinin belirtilmesi istenmektedir.</w:t>
      </w:r>
      <w:r w:rsidR="00F175B2">
        <w:rPr>
          <w:rFonts w:ascii="Times New Roman" w:hAnsi="Times New Roman" w:cs="Times New Roman"/>
          <w:sz w:val="24"/>
          <w:szCs w:val="24"/>
        </w:rPr>
        <w:t xml:space="preserve"> Faktörler irdelendikten sonra bankalara, aynı göstergelerin değişim yönlerine ilişkin gelecek üç ayı kapsayan beklentileri sorulmaktadır. Bankalardan alınan yanıtlar anali</w:t>
      </w:r>
      <w:r w:rsidR="0033501E">
        <w:rPr>
          <w:rFonts w:ascii="Times New Roman" w:hAnsi="Times New Roman" w:cs="Times New Roman"/>
          <w:sz w:val="24"/>
          <w:szCs w:val="24"/>
        </w:rPr>
        <w:t xml:space="preserve">ze </w:t>
      </w:r>
      <w:proofErr w:type="spellStart"/>
      <w:r w:rsidR="0033501E">
        <w:rPr>
          <w:rFonts w:ascii="Times New Roman" w:hAnsi="Times New Roman" w:cs="Times New Roman"/>
          <w:sz w:val="24"/>
          <w:szCs w:val="24"/>
        </w:rPr>
        <w:t>ağırlıklandırma</w:t>
      </w:r>
      <w:proofErr w:type="spellEnd"/>
      <w:r w:rsidR="0033501E">
        <w:rPr>
          <w:rFonts w:ascii="Times New Roman" w:hAnsi="Times New Roman" w:cs="Times New Roman"/>
          <w:sz w:val="24"/>
          <w:szCs w:val="24"/>
        </w:rPr>
        <w:t xml:space="preserve"> yöntemi ile dâhil edilmektedir. Ağırlıklar, bankaların belirli kredi türlerindeki piyasa paylarına göre hesaplanmaktadır.</w:t>
      </w:r>
      <w:r w:rsidR="00F175B2">
        <w:rPr>
          <w:rFonts w:ascii="Times New Roman" w:hAnsi="Times New Roman" w:cs="Times New Roman"/>
          <w:sz w:val="24"/>
          <w:szCs w:val="24"/>
        </w:rPr>
        <w:t xml:space="preserve"> </w:t>
      </w:r>
    </w:p>
    <w:p w:rsidR="00B50A79" w:rsidRDefault="00F175B2" w:rsidP="00635369">
      <w:pPr>
        <w:jc w:val="both"/>
        <w:rPr>
          <w:rFonts w:ascii="Times New Roman" w:hAnsi="Times New Roman" w:cs="Times New Roman"/>
          <w:sz w:val="24"/>
          <w:szCs w:val="24"/>
        </w:rPr>
      </w:pPr>
      <w:r>
        <w:rPr>
          <w:rFonts w:ascii="Times New Roman" w:hAnsi="Times New Roman" w:cs="Times New Roman"/>
          <w:sz w:val="24"/>
          <w:szCs w:val="24"/>
        </w:rPr>
        <w:t>Yukarıda özetle</w:t>
      </w:r>
      <w:r w:rsidR="0033501E">
        <w:rPr>
          <w:rFonts w:ascii="Times New Roman" w:hAnsi="Times New Roman" w:cs="Times New Roman"/>
          <w:sz w:val="24"/>
          <w:szCs w:val="24"/>
        </w:rPr>
        <w:t>nen yöntem çerçevesinde gerçekleştirilen B</w:t>
      </w:r>
      <w:r w:rsidR="00F931C1" w:rsidRPr="002338B9">
        <w:rPr>
          <w:rFonts w:ascii="Times New Roman" w:hAnsi="Times New Roman" w:cs="Times New Roman"/>
          <w:sz w:val="24"/>
          <w:szCs w:val="24"/>
        </w:rPr>
        <w:t xml:space="preserve">anka Kredileri Eğilim Anketi’nin </w:t>
      </w:r>
      <w:r w:rsidR="00BC61F1">
        <w:rPr>
          <w:rFonts w:ascii="Times New Roman" w:hAnsi="Times New Roman" w:cs="Times New Roman"/>
          <w:sz w:val="24"/>
          <w:szCs w:val="24"/>
        </w:rPr>
        <w:t>Ocak-Mart</w:t>
      </w:r>
      <w:r w:rsidR="00F931C1" w:rsidRPr="002338B9">
        <w:rPr>
          <w:rFonts w:ascii="Times New Roman" w:hAnsi="Times New Roman" w:cs="Times New Roman"/>
          <w:sz w:val="24"/>
          <w:szCs w:val="24"/>
        </w:rPr>
        <w:t xml:space="preserve"> 201</w:t>
      </w:r>
      <w:r w:rsidR="00BC61F1">
        <w:rPr>
          <w:rFonts w:ascii="Times New Roman" w:hAnsi="Times New Roman" w:cs="Times New Roman"/>
          <w:sz w:val="24"/>
          <w:szCs w:val="24"/>
        </w:rPr>
        <w:t>5</w:t>
      </w:r>
      <w:r w:rsidR="00F931C1" w:rsidRPr="002338B9">
        <w:rPr>
          <w:rFonts w:ascii="Times New Roman" w:hAnsi="Times New Roman" w:cs="Times New Roman"/>
          <w:sz w:val="24"/>
          <w:szCs w:val="24"/>
        </w:rPr>
        <w:t xml:space="preserve"> dönemine ilişkin açıklanan sonuçlar, 201</w:t>
      </w:r>
      <w:r w:rsidR="00BC61F1">
        <w:rPr>
          <w:rFonts w:ascii="Times New Roman" w:hAnsi="Times New Roman" w:cs="Times New Roman"/>
          <w:sz w:val="24"/>
          <w:szCs w:val="24"/>
        </w:rPr>
        <w:t>5</w:t>
      </w:r>
      <w:r w:rsidR="00F931C1" w:rsidRPr="002338B9">
        <w:rPr>
          <w:rFonts w:ascii="Times New Roman" w:hAnsi="Times New Roman" w:cs="Times New Roman"/>
          <w:sz w:val="24"/>
          <w:szCs w:val="24"/>
        </w:rPr>
        <w:t xml:space="preserve"> yılı </w:t>
      </w:r>
      <w:r w:rsidR="00BC61F1">
        <w:rPr>
          <w:rFonts w:ascii="Times New Roman" w:hAnsi="Times New Roman" w:cs="Times New Roman"/>
          <w:sz w:val="24"/>
          <w:szCs w:val="24"/>
        </w:rPr>
        <w:t>ilk çeyrekt</w:t>
      </w:r>
      <w:r w:rsidR="00F931C1" w:rsidRPr="002338B9">
        <w:rPr>
          <w:rFonts w:ascii="Times New Roman" w:hAnsi="Times New Roman" w:cs="Times New Roman"/>
          <w:sz w:val="24"/>
          <w:szCs w:val="24"/>
        </w:rPr>
        <w:t xml:space="preserve">eki gerçekleşmeleri ve 2015 yılı </w:t>
      </w:r>
      <w:r w:rsidR="00BC61F1">
        <w:rPr>
          <w:rFonts w:ascii="Times New Roman" w:hAnsi="Times New Roman" w:cs="Times New Roman"/>
          <w:sz w:val="24"/>
          <w:szCs w:val="24"/>
        </w:rPr>
        <w:t>ikinci</w:t>
      </w:r>
      <w:r w:rsidR="00F931C1" w:rsidRPr="002338B9">
        <w:rPr>
          <w:rFonts w:ascii="Times New Roman" w:hAnsi="Times New Roman" w:cs="Times New Roman"/>
          <w:sz w:val="24"/>
          <w:szCs w:val="24"/>
        </w:rPr>
        <w:t xml:space="preserve"> çeyreğine ilişkin beklentileri içermektedir. </w:t>
      </w:r>
      <w:r w:rsidR="00F931C1" w:rsidRPr="00B50A79">
        <w:rPr>
          <w:rFonts w:ascii="Times New Roman" w:hAnsi="Times New Roman" w:cs="Times New Roman"/>
          <w:sz w:val="24"/>
          <w:szCs w:val="24"/>
        </w:rPr>
        <w:t>Bu</w:t>
      </w:r>
      <w:r w:rsidR="00F931C1" w:rsidRPr="002338B9">
        <w:rPr>
          <w:rFonts w:ascii="Times New Roman" w:hAnsi="Times New Roman" w:cs="Times New Roman"/>
          <w:sz w:val="24"/>
          <w:szCs w:val="24"/>
        </w:rPr>
        <w:t xml:space="preserve">na göre </w:t>
      </w:r>
      <w:r w:rsidR="00B50A79">
        <w:rPr>
          <w:rFonts w:ascii="Times New Roman" w:hAnsi="Times New Roman" w:cs="Times New Roman"/>
          <w:sz w:val="24"/>
          <w:szCs w:val="24"/>
        </w:rPr>
        <w:t>Ocak-Mart</w:t>
      </w:r>
      <w:r w:rsidR="00F931C1" w:rsidRPr="002338B9">
        <w:rPr>
          <w:rFonts w:ascii="Times New Roman" w:hAnsi="Times New Roman" w:cs="Times New Roman"/>
          <w:sz w:val="24"/>
          <w:szCs w:val="24"/>
        </w:rPr>
        <w:t xml:space="preserve"> 201</w:t>
      </w:r>
      <w:r w:rsidR="00B50A79">
        <w:rPr>
          <w:rFonts w:ascii="Times New Roman" w:hAnsi="Times New Roman" w:cs="Times New Roman"/>
          <w:sz w:val="24"/>
          <w:szCs w:val="24"/>
        </w:rPr>
        <w:t>5</w:t>
      </w:r>
      <w:r w:rsidR="00F931C1" w:rsidRPr="002338B9">
        <w:rPr>
          <w:rFonts w:ascii="Times New Roman" w:hAnsi="Times New Roman" w:cs="Times New Roman"/>
          <w:sz w:val="24"/>
          <w:szCs w:val="24"/>
        </w:rPr>
        <w:t xml:space="preserve"> döneminde, bankaların işletmelere verilen kredilerde </w:t>
      </w:r>
      <w:r w:rsidR="00B50A79">
        <w:rPr>
          <w:rFonts w:ascii="Times New Roman" w:hAnsi="Times New Roman" w:cs="Times New Roman"/>
          <w:sz w:val="24"/>
          <w:szCs w:val="24"/>
        </w:rPr>
        <w:t xml:space="preserve">ve bireysel kredilerde </w:t>
      </w:r>
      <w:r w:rsidR="00F931C1" w:rsidRPr="002338B9">
        <w:rPr>
          <w:rFonts w:ascii="Times New Roman" w:hAnsi="Times New Roman" w:cs="Times New Roman"/>
          <w:sz w:val="24"/>
          <w:szCs w:val="24"/>
        </w:rPr>
        <w:t xml:space="preserve">standartları </w:t>
      </w:r>
      <w:r w:rsidR="00B50A79">
        <w:rPr>
          <w:rFonts w:ascii="Times New Roman" w:hAnsi="Times New Roman" w:cs="Times New Roman"/>
          <w:sz w:val="24"/>
          <w:szCs w:val="24"/>
        </w:rPr>
        <w:t xml:space="preserve">sınırlı ölçüde </w:t>
      </w:r>
      <w:r w:rsidR="00F931C1" w:rsidRPr="002338B9">
        <w:rPr>
          <w:rFonts w:ascii="Times New Roman" w:hAnsi="Times New Roman" w:cs="Times New Roman"/>
          <w:sz w:val="24"/>
          <w:szCs w:val="24"/>
        </w:rPr>
        <w:t>sıkılaştırdığı</w:t>
      </w:r>
      <w:r w:rsidR="00B50A79">
        <w:rPr>
          <w:rFonts w:ascii="Times New Roman" w:hAnsi="Times New Roman" w:cs="Times New Roman"/>
          <w:sz w:val="24"/>
          <w:szCs w:val="24"/>
        </w:rPr>
        <w:t>, konut ve taşıt kredilerinde ise bir miktar gevşettiği</w:t>
      </w:r>
      <w:r w:rsidR="00F931C1" w:rsidRPr="002338B9">
        <w:rPr>
          <w:rFonts w:ascii="Times New Roman" w:hAnsi="Times New Roman" w:cs="Times New Roman"/>
          <w:sz w:val="24"/>
          <w:szCs w:val="24"/>
        </w:rPr>
        <w:t xml:space="preserve"> görülmektedir. </w:t>
      </w:r>
      <w:r w:rsidR="00B50A79">
        <w:rPr>
          <w:rFonts w:ascii="Times New Roman" w:hAnsi="Times New Roman" w:cs="Times New Roman"/>
          <w:sz w:val="24"/>
          <w:szCs w:val="24"/>
        </w:rPr>
        <w:t xml:space="preserve">2015 yılı ikinci çeyreğinde işletmelere kullandırılan kredilerdeki sıkılaştırmanın devam edeceği, bireysel kredilerden konut ve taşıt kredilerinde standartların temelde aynı kalacağı ve diğer bireysel kredilerde ise gevşetileceği beklenmektedir.  </w:t>
      </w:r>
    </w:p>
    <w:p w:rsidR="00F931C1" w:rsidRDefault="00F931C1" w:rsidP="00635369">
      <w:pPr>
        <w:jc w:val="both"/>
        <w:rPr>
          <w:rFonts w:ascii="Times New Roman" w:hAnsi="Times New Roman" w:cs="Times New Roman"/>
          <w:sz w:val="24"/>
          <w:szCs w:val="24"/>
        </w:rPr>
      </w:pPr>
      <w:r w:rsidRPr="002338B9">
        <w:rPr>
          <w:rFonts w:ascii="Times New Roman" w:hAnsi="Times New Roman" w:cs="Times New Roman"/>
          <w:sz w:val="24"/>
          <w:szCs w:val="24"/>
        </w:rPr>
        <w:t xml:space="preserve">Bunun yanı sıra işletmelerin banka kredilerine olan talebi daralmış, </w:t>
      </w:r>
      <w:r w:rsidR="00B50A79">
        <w:rPr>
          <w:rFonts w:ascii="Times New Roman" w:hAnsi="Times New Roman" w:cs="Times New Roman"/>
          <w:sz w:val="24"/>
          <w:szCs w:val="24"/>
        </w:rPr>
        <w:t xml:space="preserve">konut ve diğer </w:t>
      </w:r>
      <w:r w:rsidRPr="002338B9">
        <w:rPr>
          <w:rFonts w:ascii="Times New Roman" w:hAnsi="Times New Roman" w:cs="Times New Roman"/>
          <w:sz w:val="24"/>
          <w:szCs w:val="24"/>
        </w:rPr>
        <w:t>bireysel kredilere olan talep</w:t>
      </w:r>
      <w:r w:rsidR="00B50A79">
        <w:rPr>
          <w:rFonts w:ascii="Times New Roman" w:hAnsi="Times New Roman" w:cs="Times New Roman"/>
          <w:sz w:val="24"/>
          <w:szCs w:val="24"/>
        </w:rPr>
        <w:t xml:space="preserve"> artmış, taşıt kredilerinde ise azalmıştır</w:t>
      </w:r>
      <w:r w:rsidRPr="002338B9">
        <w:rPr>
          <w:rFonts w:ascii="Times New Roman" w:hAnsi="Times New Roman" w:cs="Times New Roman"/>
          <w:sz w:val="24"/>
          <w:szCs w:val="24"/>
        </w:rPr>
        <w:t xml:space="preserve">. Bankaların fon sağlama </w:t>
      </w:r>
      <w:r w:rsidR="0033501E" w:rsidRPr="002338B9">
        <w:rPr>
          <w:rFonts w:ascii="Times New Roman" w:hAnsi="Times New Roman" w:cs="Times New Roman"/>
          <w:sz w:val="24"/>
          <w:szCs w:val="24"/>
        </w:rPr>
        <w:t>imkânları</w:t>
      </w:r>
      <w:r w:rsidR="00B50A79">
        <w:rPr>
          <w:rFonts w:ascii="Times New Roman" w:hAnsi="Times New Roman" w:cs="Times New Roman"/>
          <w:sz w:val="24"/>
          <w:szCs w:val="24"/>
        </w:rPr>
        <w:t xml:space="preserve">na bakıldığında </w:t>
      </w:r>
      <w:r w:rsidRPr="002338B9">
        <w:rPr>
          <w:rFonts w:ascii="Times New Roman" w:hAnsi="Times New Roman" w:cs="Times New Roman"/>
          <w:sz w:val="24"/>
          <w:szCs w:val="24"/>
        </w:rPr>
        <w:t xml:space="preserve">ise yurt içi </w:t>
      </w:r>
      <w:r w:rsidR="00B50A79">
        <w:rPr>
          <w:rFonts w:ascii="Times New Roman" w:hAnsi="Times New Roman" w:cs="Times New Roman"/>
          <w:sz w:val="24"/>
          <w:szCs w:val="24"/>
        </w:rPr>
        <w:t>fonlama koşullarının önceki çeyrekte olduğu gibi sıkılaştırıldığı görülmektedir. 2014 yılı son çeyreğinde gevşetilen yurt dışı fonlama koşulları ise gerek fonlama maliyeti gerekse de diğer koşul ve kuralların etkisiyle 2015 yılı ilk çeyreğinde sıkılaştırılmıştır.</w:t>
      </w:r>
    </w:p>
    <w:p w:rsidR="0033501E" w:rsidRDefault="0033501E" w:rsidP="00635369">
      <w:pPr>
        <w:jc w:val="both"/>
        <w:rPr>
          <w:rFonts w:ascii="Times New Roman" w:hAnsi="Times New Roman" w:cs="Times New Roman"/>
          <w:sz w:val="24"/>
          <w:szCs w:val="24"/>
        </w:rPr>
      </w:pPr>
      <w:r>
        <w:rPr>
          <w:rFonts w:ascii="Times New Roman" w:hAnsi="Times New Roman" w:cs="Times New Roman"/>
          <w:sz w:val="24"/>
          <w:szCs w:val="24"/>
        </w:rPr>
        <w:t>Şekil 1</w:t>
      </w:r>
      <w:r w:rsidR="00132809">
        <w:rPr>
          <w:rFonts w:ascii="Times New Roman" w:hAnsi="Times New Roman" w:cs="Times New Roman"/>
          <w:sz w:val="24"/>
          <w:szCs w:val="24"/>
        </w:rPr>
        <w:t>,</w:t>
      </w:r>
      <w:r>
        <w:rPr>
          <w:rFonts w:ascii="Times New Roman" w:hAnsi="Times New Roman" w:cs="Times New Roman"/>
          <w:sz w:val="24"/>
          <w:szCs w:val="24"/>
        </w:rPr>
        <w:t xml:space="preserve"> bankaların genel olarak işletmelere verilen kredilere uyguladıkları standartları sıkılaştırdığını göstermektedir. Çizgi grafik</w:t>
      </w:r>
      <w:r w:rsidR="00132809">
        <w:rPr>
          <w:rFonts w:ascii="Times New Roman" w:hAnsi="Times New Roman" w:cs="Times New Roman"/>
          <w:sz w:val="24"/>
          <w:szCs w:val="24"/>
        </w:rPr>
        <w:t xml:space="preserve">te </w:t>
      </w:r>
      <w:r w:rsidR="00132809" w:rsidRPr="00132809">
        <w:rPr>
          <w:rFonts w:ascii="Times New Roman" w:hAnsi="Times New Roman" w:cs="Times New Roman"/>
          <w:i/>
          <w:sz w:val="24"/>
          <w:szCs w:val="24"/>
        </w:rPr>
        <w:t>gerçekleşme</w:t>
      </w:r>
      <w:r>
        <w:rPr>
          <w:rFonts w:ascii="Times New Roman" w:hAnsi="Times New Roman" w:cs="Times New Roman"/>
          <w:sz w:val="24"/>
          <w:szCs w:val="24"/>
        </w:rPr>
        <w:t xml:space="preserve"> </w:t>
      </w:r>
      <w:r w:rsidR="00132809">
        <w:rPr>
          <w:rFonts w:ascii="Times New Roman" w:hAnsi="Times New Roman" w:cs="Times New Roman"/>
          <w:sz w:val="24"/>
          <w:szCs w:val="24"/>
        </w:rPr>
        <w:t xml:space="preserve">söz konusu dönemde standartlarda meydana gelen değişimi ifade ederken </w:t>
      </w:r>
      <w:r w:rsidR="00132809" w:rsidRPr="00132809">
        <w:rPr>
          <w:rFonts w:ascii="Times New Roman" w:hAnsi="Times New Roman" w:cs="Times New Roman"/>
          <w:i/>
          <w:sz w:val="24"/>
          <w:szCs w:val="24"/>
        </w:rPr>
        <w:t>beklenti</w:t>
      </w:r>
      <w:r w:rsidR="00132809">
        <w:rPr>
          <w:rFonts w:ascii="Times New Roman" w:hAnsi="Times New Roman" w:cs="Times New Roman"/>
          <w:sz w:val="24"/>
          <w:szCs w:val="24"/>
        </w:rPr>
        <w:t xml:space="preserve"> ise aynı dönem için bankaların beklediği değişimi ifade etmektedir. </w:t>
      </w:r>
      <w:r>
        <w:rPr>
          <w:rFonts w:ascii="Times New Roman" w:hAnsi="Times New Roman" w:cs="Times New Roman"/>
          <w:sz w:val="24"/>
          <w:szCs w:val="24"/>
        </w:rPr>
        <w:t>201</w:t>
      </w:r>
      <w:r w:rsidR="0011593B">
        <w:rPr>
          <w:rFonts w:ascii="Times New Roman" w:hAnsi="Times New Roman" w:cs="Times New Roman"/>
          <w:sz w:val="24"/>
          <w:szCs w:val="24"/>
        </w:rPr>
        <w:t>2</w:t>
      </w:r>
      <w:r>
        <w:rPr>
          <w:rFonts w:ascii="Times New Roman" w:hAnsi="Times New Roman" w:cs="Times New Roman"/>
          <w:sz w:val="24"/>
          <w:szCs w:val="24"/>
        </w:rPr>
        <w:t xml:space="preserve"> yılı</w:t>
      </w:r>
      <w:r w:rsidR="0011593B">
        <w:rPr>
          <w:rFonts w:ascii="Times New Roman" w:hAnsi="Times New Roman" w:cs="Times New Roman"/>
          <w:sz w:val="24"/>
          <w:szCs w:val="24"/>
        </w:rPr>
        <w:t xml:space="preserve"> ilk</w:t>
      </w:r>
      <w:r>
        <w:rPr>
          <w:rFonts w:ascii="Times New Roman" w:hAnsi="Times New Roman" w:cs="Times New Roman"/>
          <w:sz w:val="24"/>
          <w:szCs w:val="24"/>
        </w:rPr>
        <w:t xml:space="preserve"> çeyreğinden bu yana </w:t>
      </w:r>
      <w:r w:rsidR="00132809">
        <w:rPr>
          <w:rFonts w:ascii="Times New Roman" w:hAnsi="Times New Roman" w:cs="Times New Roman"/>
          <w:sz w:val="24"/>
          <w:szCs w:val="24"/>
        </w:rPr>
        <w:t>işletmelere kullandırılan</w:t>
      </w:r>
      <w:r>
        <w:rPr>
          <w:rFonts w:ascii="Times New Roman" w:hAnsi="Times New Roman" w:cs="Times New Roman"/>
          <w:sz w:val="24"/>
          <w:szCs w:val="24"/>
        </w:rPr>
        <w:t xml:space="preserve"> kredi türünde </w:t>
      </w:r>
      <w:r w:rsidR="00132809">
        <w:rPr>
          <w:rFonts w:ascii="Times New Roman" w:hAnsi="Times New Roman" w:cs="Times New Roman"/>
          <w:sz w:val="24"/>
          <w:szCs w:val="24"/>
        </w:rPr>
        <w:t>beklentiler ile gerçekleşmelerin genellikle aynı yönlü olduğu ancak sıkılaştırma beklenen bazı dönemlerde gerçekleşmenin gevşetme yönünde olduğu da gözlenmiştir. 201</w:t>
      </w:r>
      <w:r w:rsidR="0011593B">
        <w:rPr>
          <w:rFonts w:ascii="Times New Roman" w:hAnsi="Times New Roman" w:cs="Times New Roman"/>
          <w:sz w:val="24"/>
          <w:szCs w:val="24"/>
        </w:rPr>
        <w:t>5</w:t>
      </w:r>
      <w:r w:rsidR="00132809">
        <w:rPr>
          <w:rFonts w:ascii="Times New Roman" w:hAnsi="Times New Roman" w:cs="Times New Roman"/>
          <w:sz w:val="24"/>
          <w:szCs w:val="24"/>
        </w:rPr>
        <w:t xml:space="preserve"> yılı </w:t>
      </w:r>
      <w:r w:rsidR="0011593B">
        <w:rPr>
          <w:rFonts w:ascii="Times New Roman" w:hAnsi="Times New Roman" w:cs="Times New Roman"/>
          <w:sz w:val="24"/>
          <w:szCs w:val="24"/>
        </w:rPr>
        <w:t xml:space="preserve">ilk </w:t>
      </w:r>
      <w:r w:rsidR="00132809">
        <w:rPr>
          <w:rFonts w:ascii="Times New Roman" w:hAnsi="Times New Roman" w:cs="Times New Roman"/>
          <w:sz w:val="24"/>
          <w:szCs w:val="24"/>
        </w:rPr>
        <w:t xml:space="preserve">çeyreğinde </w:t>
      </w:r>
      <w:r w:rsidR="0011593B">
        <w:rPr>
          <w:rFonts w:ascii="Times New Roman" w:hAnsi="Times New Roman" w:cs="Times New Roman"/>
          <w:sz w:val="24"/>
          <w:szCs w:val="24"/>
        </w:rPr>
        <w:t>bankaların genel olarak işletmelere kullandırılan kredilere uygulanan standartları sıkılaştırdığı görülmektedir. Bu sıkılaştırmada esas olarak genel ekonomik faaliyetlere ilişkin beklentiler ve risk algısına ilişkin faktörler etkili olmuştur. Bununla birlikte bankalar, 2015 yılı ilk çeyreğinde diğer bankaların rekabetinin standartlar üzerinde gevşetici etki yarattığını belirtmiştir.</w:t>
      </w:r>
    </w:p>
    <w:p w:rsidR="00730878" w:rsidRPr="00730878" w:rsidRDefault="00730878" w:rsidP="00730878">
      <w:pPr>
        <w:pStyle w:val="ResimYazs"/>
        <w:keepNext/>
        <w:jc w:val="both"/>
        <w:rPr>
          <w:rFonts w:ascii="Times New Roman" w:hAnsi="Times New Roman" w:cs="Times New Roman"/>
          <w:b w:val="0"/>
          <w:color w:val="auto"/>
          <w:sz w:val="24"/>
          <w:szCs w:val="24"/>
        </w:rPr>
      </w:pPr>
      <w:r w:rsidRPr="00730878">
        <w:rPr>
          <w:rFonts w:ascii="Times New Roman" w:hAnsi="Times New Roman" w:cs="Times New Roman"/>
          <w:b w:val="0"/>
          <w:color w:val="auto"/>
          <w:sz w:val="24"/>
          <w:szCs w:val="24"/>
        </w:rPr>
        <w:t xml:space="preserve">Tablo </w:t>
      </w:r>
      <w:r w:rsidRPr="00730878">
        <w:rPr>
          <w:rFonts w:ascii="Times New Roman" w:hAnsi="Times New Roman" w:cs="Times New Roman"/>
          <w:b w:val="0"/>
          <w:color w:val="auto"/>
          <w:sz w:val="24"/>
          <w:szCs w:val="24"/>
        </w:rPr>
        <w:fldChar w:fldCharType="begin"/>
      </w:r>
      <w:r w:rsidRPr="00730878">
        <w:rPr>
          <w:rFonts w:ascii="Times New Roman" w:hAnsi="Times New Roman" w:cs="Times New Roman"/>
          <w:b w:val="0"/>
          <w:color w:val="auto"/>
          <w:sz w:val="24"/>
          <w:szCs w:val="24"/>
        </w:rPr>
        <w:instrText xml:space="preserve"> SEQ Tablo \* ARABIC </w:instrText>
      </w:r>
      <w:r w:rsidRPr="00730878">
        <w:rPr>
          <w:rFonts w:ascii="Times New Roman" w:hAnsi="Times New Roman" w:cs="Times New Roman"/>
          <w:b w:val="0"/>
          <w:color w:val="auto"/>
          <w:sz w:val="24"/>
          <w:szCs w:val="24"/>
        </w:rPr>
        <w:fldChar w:fldCharType="separate"/>
      </w:r>
      <w:r w:rsidR="00D9776A">
        <w:rPr>
          <w:rFonts w:ascii="Times New Roman" w:hAnsi="Times New Roman" w:cs="Times New Roman"/>
          <w:b w:val="0"/>
          <w:noProof/>
          <w:color w:val="auto"/>
          <w:sz w:val="24"/>
          <w:szCs w:val="24"/>
        </w:rPr>
        <w:t>1</w:t>
      </w:r>
      <w:r w:rsidRPr="00730878">
        <w:rPr>
          <w:rFonts w:ascii="Times New Roman" w:hAnsi="Times New Roman" w:cs="Times New Roman"/>
          <w:b w:val="0"/>
          <w:color w:val="auto"/>
          <w:sz w:val="24"/>
          <w:szCs w:val="24"/>
        </w:rPr>
        <w:fldChar w:fldCharType="end"/>
      </w:r>
      <w:r w:rsidRPr="00730878">
        <w:rPr>
          <w:rFonts w:ascii="Times New Roman" w:hAnsi="Times New Roman" w:cs="Times New Roman"/>
          <w:b w:val="0"/>
          <w:color w:val="auto"/>
          <w:sz w:val="24"/>
          <w:szCs w:val="24"/>
        </w:rPr>
        <w:t xml:space="preserve">: </w:t>
      </w:r>
      <w:r w:rsidRPr="002338B9">
        <w:rPr>
          <w:rFonts w:ascii="Times New Roman" w:hAnsi="Times New Roman" w:cs="Times New Roman"/>
          <w:b w:val="0"/>
          <w:color w:val="auto"/>
          <w:sz w:val="24"/>
          <w:szCs w:val="24"/>
        </w:rPr>
        <w:t>Genel olarak işletmelere verilen kredilere uygulanan standartlarda değişim bildiren bankaların net yüzde oranları (&gt;0 = Gevşetme; &lt;0 = Sıkılaştırma)</w:t>
      </w:r>
    </w:p>
    <w:p w:rsidR="0080456D" w:rsidRDefault="004B2EF3" w:rsidP="00635369">
      <w:pPr>
        <w:jc w:val="both"/>
        <w:rPr>
          <w:rFonts w:ascii="Times New Roman" w:hAnsi="Times New Roman" w:cs="Times New Roman"/>
          <w:sz w:val="16"/>
        </w:rPr>
      </w:pPr>
      <w:r w:rsidRPr="004B2EF3">
        <w:drawing>
          <wp:inline distT="0" distB="0" distL="0" distR="0">
            <wp:extent cx="5924550" cy="37338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4550" cy="3733800"/>
                    </a:xfrm>
                    <a:prstGeom prst="rect">
                      <a:avLst/>
                    </a:prstGeom>
                    <a:noFill/>
                    <a:ln>
                      <a:noFill/>
                    </a:ln>
                  </pic:spPr>
                </pic:pic>
              </a:graphicData>
            </a:graphic>
          </wp:inline>
        </w:drawing>
      </w:r>
      <w:r w:rsidR="0080456D" w:rsidRPr="0080456D">
        <w:rPr>
          <w:rFonts w:ascii="Times New Roman" w:hAnsi="Times New Roman" w:cs="Times New Roman"/>
          <w:sz w:val="16"/>
        </w:rPr>
        <w:t>Kaynak: TCMB</w:t>
      </w:r>
    </w:p>
    <w:p w:rsidR="00730878" w:rsidRPr="00730878" w:rsidRDefault="00730878" w:rsidP="00730878">
      <w:pPr>
        <w:pStyle w:val="ResimYazs"/>
        <w:keepNext/>
        <w:jc w:val="both"/>
        <w:rPr>
          <w:rFonts w:ascii="Times New Roman" w:hAnsi="Times New Roman" w:cs="Times New Roman"/>
          <w:b w:val="0"/>
          <w:color w:val="auto"/>
          <w:sz w:val="24"/>
          <w:szCs w:val="24"/>
        </w:rPr>
      </w:pPr>
      <w:r w:rsidRPr="00730878">
        <w:rPr>
          <w:rFonts w:ascii="Times New Roman" w:hAnsi="Times New Roman" w:cs="Times New Roman"/>
          <w:b w:val="0"/>
          <w:color w:val="auto"/>
          <w:sz w:val="24"/>
          <w:szCs w:val="24"/>
        </w:rPr>
        <w:t xml:space="preserve">Şekil </w:t>
      </w:r>
      <w:r w:rsidRPr="00730878">
        <w:rPr>
          <w:rFonts w:ascii="Times New Roman" w:hAnsi="Times New Roman" w:cs="Times New Roman"/>
          <w:b w:val="0"/>
          <w:color w:val="auto"/>
          <w:sz w:val="24"/>
          <w:szCs w:val="24"/>
        </w:rPr>
        <w:fldChar w:fldCharType="begin"/>
      </w:r>
      <w:r w:rsidRPr="00730878">
        <w:rPr>
          <w:rFonts w:ascii="Times New Roman" w:hAnsi="Times New Roman" w:cs="Times New Roman"/>
          <w:b w:val="0"/>
          <w:color w:val="auto"/>
          <w:sz w:val="24"/>
          <w:szCs w:val="24"/>
        </w:rPr>
        <w:instrText xml:space="preserve"> SEQ Şekil \* ARABIC </w:instrText>
      </w:r>
      <w:r w:rsidRPr="00730878">
        <w:rPr>
          <w:rFonts w:ascii="Times New Roman" w:hAnsi="Times New Roman" w:cs="Times New Roman"/>
          <w:b w:val="0"/>
          <w:color w:val="auto"/>
          <w:sz w:val="24"/>
          <w:szCs w:val="24"/>
        </w:rPr>
        <w:fldChar w:fldCharType="separate"/>
      </w:r>
      <w:r w:rsidRPr="00730878">
        <w:rPr>
          <w:rFonts w:ascii="Times New Roman" w:hAnsi="Times New Roman" w:cs="Times New Roman"/>
          <w:b w:val="0"/>
          <w:color w:val="auto"/>
          <w:sz w:val="24"/>
          <w:szCs w:val="24"/>
        </w:rPr>
        <w:t>1</w:t>
      </w:r>
      <w:r w:rsidRPr="00730878">
        <w:rPr>
          <w:rFonts w:ascii="Times New Roman" w:hAnsi="Times New Roman" w:cs="Times New Roman"/>
          <w:b w:val="0"/>
          <w:color w:val="auto"/>
          <w:sz w:val="24"/>
          <w:szCs w:val="24"/>
        </w:rPr>
        <w:fldChar w:fldCharType="end"/>
      </w:r>
      <w:r w:rsidRPr="00730878">
        <w:rPr>
          <w:rFonts w:ascii="Times New Roman" w:hAnsi="Times New Roman" w:cs="Times New Roman"/>
          <w:b w:val="0"/>
          <w:color w:val="auto"/>
          <w:sz w:val="24"/>
          <w:szCs w:val="24"/>
        </w:rPr>
        <w:t xml:space="preserve">: </w:t>
      </w:r>
      <w:r w:rsidRPr="002338B9">
        <w:rPr>
          <w:rFonts w:ascii="Times New Roman" w:hAnsi="Times New Roman" w:cs="Times New Roman"/>
          <w:b w:val="0"/>
          <w:color w:val="auto"/>
          <w:sz w:val="24"/>
          <w:szCs w:val="24"/>
        </w:rPr>
        <w:t>Genel olarak işletmelere verilen kredilere uygulanan standartlarda değişim bildiren bankaların net yüzde oranları (&gt;0 = Gevşetme; &lt;0 = Sıkılaştırma)</w:t>
      </w:r>
      <w:r w:rsidR="00790F23">
        <w:rPr>
          <w:rFonts w:ascii="Times New Roman" w:hAnsi="Times New Roman" w:cs="Times New Roman"/>
          <w:b w:val="0"/>
          <w:color w:val="auto"/>
          <w:sz w:val="24"/>
          <w:szCs w:val="24"/>
        </w:rPr>
        <w:t xml:space="preserve"> ve standartları etkileyen faktörler</w:t>
      </w:r>
    </w:p>
    <w:p w:rsidR="00521E1F" w:rsidRPr="004B2EF3" w:rsidRDefault="00730878" w:rsidP="00635369">
      <w:pPr>
        <w:jc w:val="both"/>
      </w:pPr>
      <w:r w:rsidRPr="00730878">
        <w:drawing>
          <wp:inline distT="0" distB="0" distL="0" distR="0" wp14:anchorId="048B0DA7" wp14:editId="659779B3">
            <wp:extent cx="5972810" cy="2357174"/>
            <wp:effectExtent l="0" t="0" r="8890" b="508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810" cy="2357174"/>
                    </a:xfrm>
                    <a:prstGeom prst="rect">
                      <a:avLst/>
                    </a:prstGeom>
                    <a:noFill/>
                    <a:ln>
                      <a:noFill/>
                    </a:ln>
                  </pic:spPr>
                </pic:pic>
              </a:graphicData>
            </a:graphic>
          </wp:inline>
        </w:drawing>
      </w:r>
    </w:p>
    <w:p w:rsidR="004B2EF3" w:rsidRDefault="00730878" w:rsidP="00635369">
      <w:pPr>
        <w:jc w:val="both"/>
        <w:rPr>
          <w:rFonts w:ascii="Times New Roman" w:hAnsi="Times New Roman" w:cs="Times New Roman"/>
        </w:rPr>
      </w:pPr>
      <w:r w:rsidRPr="00730878">
        <w:drawing>
          <wp:inline distT="0" distB="0" distL="0" distR="0" wp14:anchorId="44DF8196" wp14:editId="4D7B3E12">
            <wp:extent cx="5972810" cy="3179424"/>
            <wp:effectExtent l="0" t="0" r="0" b="254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2810" cy="3179424"/>
                    </a:xfrm>
                    <a:prstGeom prst="rect">
                      <a:avLst/>
                    </a:prstGeom>
                    <a:noFill/>
                    <a:ln>
                      <a:noFill/>
                    </a:ln>
                  </pic:spPr>
                </pic:pic>
              </a:graphicData>
            </a:graphic>
          </wp:inline>
        </w:drawing>
      </w:r>
    </w:p>
    <w:p w:rsidR="00AF4150" w:rsidRDefault="00AF4150" w:rsidP="00635369">
      <w:pPr>
        <w:jc w:val="both"/>
        <w:rPr>
          <w:rFonts w:ascii="Times New Roman" w:hAnsi="Times New Roman" w:cs="Times New Roman"/>
        </w:rPr>
      </w:pPr>
      <w:r>
        <w:rPr>
          <w:rFonts w:ascii="Times New Roman" w:hAnsi="Times New Roman" w:cs="Times New Roman"/>
        </w:rPr>
        <w:t>Kaynak: TCMB</w:t>
      </w:r>
    </w:p>
    <w:p w:rsidR="003A0A58" w:rsidRDefault="003A0A58" w:rsidP="00635369">
      <w:pPr>
        <w:jc w:val="both"/>
        <w:rPr>
          <w:rFonts w:ascii="Times New Roman" w:hAnsi="Times New Roman" w:cs="Times New Roman"/>
        </w:rPr>
      </w:pPr>
      <w:r>
        <w:rPr>
          <w:rFonts w:ascii="Times New Roman" w:hAnsi="Times New Roman" w:cs="Times New Roman"/>
        </w:rPr>
        <w:t xml:space="preserve">İşletmelere verilen kredilere uygulanan kredi koşul ve kurallarına bakıldığında, bankaların </w:t>
      </w:r>
      <w:r w:rsidR="00D9776A">
        <w:rPr>
          <w:rFonts w:ascii="Times New Roman" w:hAnsi="Times New Roman" w:cs="Times New Roman"/>
        </w:rPr>
        <w:t xml:space="preserve">daha riskli olarak değerlendirdiği krediler üzerinden aldıkları kar </w:t>
      </w:r>
      <w:proofErr w:type="gramStart"/>
      <w:r w:rsidR="00D9776A">
        <w:rPr>
          <w:rFonts w:ascii="Times New Roman" w:hAnsi="Times New Roman" w:cs="Times New Roman"/>
        </w:rPr>
        <w:t>marjlarını</w:t>
      </w:r>
      <w:proofErr w:type="gramEnd"/>
      <w:r w:rsidR="00D9776A">
        <w:rPr>
          <w:rFonts w:ascii="Times New Roman" w:hAnsi="Times New Roman" w:cs="Times New Roman"/>
        </w:rPr>
        <w:t xml:space="preserve"> artırmaya devam ettiği, vade koşulları, kredi ya da kredi limitinin büyüklüğüne ilişkin koşulları ve kredi sözleşmesi özel koşullarını gevşettiği görülmektedir (Tablo 2).</w:t>
      </w:r>
    </w:p>
    <w:p w:rsidR="00D9776A" w:rsidRDefault="00D9776A" w:rsidP="00635369">
      <w:pPr>
        <w:jc w:val="both"/>
        <w:rPr>
          <w:rFonts w:ascii="Times New Roman" w:hAnsi="Times New Roman" w:cs="Times New Roman"/>
        </w:rPr>
      </w:pPr>
    </w:p>
    <w:p w:rsidR="00D9776A" w:rsidRDefault="00D9776A" w:rsidP="00635369">
      <w:pPr>
        <w:jc w:val="both"/>
        <w:rPr>
          <w:rFonts w:ascii="Times New Roman" w:hAnsi="Times New Roman" w:cs="Times New Roman"/>
        </w:rPr>
      </w:pPr>
    </w:p>
    <w:p w:rsidR="00D9776A" w:rsidRPr="00D9776A" w:rsidRDefault="00D9776A" w:rsidP="00D9776A">
      <w:pPr>
        <w:pStyle w:val="ResimYazs"/>
        <w:keepNext/>
        <w:jc w:val="both"/>
        <w:rPr>
          <w:rFonts w:ascii="Times New Roman" w:hAnsi="Times New Roman" w:cs="Times New Roman"/>
          <w:b w:val="0"/>
          <w:color w:val="auto"/>
          <w:sz w:val="24"/>
          <w:szCs w:val="24"/>
        </w:rPr>
      </w:pPr>
      <w:r w:rsidRPr="00D9776A">
        <w:rPr>
          <w:rFonts w:ascii="Times New Roman" w:hAnsi="Times New Roman" w:cs="Times New Roman"/>
          <w:b w:val="0"/>
          <w:color w:val="auto"/>
          <w:sz w:val="24"/>
          <w:szCs w:val="24"/>
        </w:rPr>
        <w:t xml:space="preserve">Tablo </w:t>
      </w:r>
      <w:r w:rsidRPr="00D9776A">
        <w:rPr>
          <w:rFonts w:ascii="Times New Roman" w:hAnsi="Times New Roman" w:cs="Times New Roman"/>
          <w:b w:val="0"/>
          <w:color w:val="auto"/>
          <w:sz w:val="24"/>
          <w:szCs w:val="24"/>
        </w:rPr>
        <w:fldChar w:fldCharType="begin"/>
      </w:r>
      <w:r w:rsidRPr="00D9776A">
        <w:rPr>
          <w:rFonts w:ascii="Times New Roman" w:hAnsi="Times New Roman" w:cs="Times New Roman"/>
          <w:b w:val="0"/>
          <w:color w:val="auto"/>
          <w:sz w:val="24"/>
          <w:szCs w:val="24"/>
        </w:rPr>
        <w:instrText xml:space="preserve"> SEQ Tablo \* ARABIC </w:instrText>
      </w:r>
      <w:r w:rsidRPr="00D9776A">
        <w:rPr>
          <w:rFonts w:ascii="Times New Roman" w:hAnsi="Times New Roman" w:cs="Times New Roman"/>
          <w:b w:val="0"/>
          <w:color w:val="auto"/>
          <w:sz w:val="24"/>
          <w:szCs w:val="24"/>
        </w:rPr>
        <w:fldChar w:fldCharType="separate"/>
      </w:r>
      <w:r w:rsidRPr="00D9776A">
        <w:rPr>
          <w:rFonts w:ascii="Times New Roman" w:hAnsi="Times New Roman" w:cs="Times New Roman"/>
          <w:b w:val="0"/>
          <w:color w:val="auto"/>
          <w:sz w:val="24"/>
          <w:szCs w:val="24"/>
        </w:rPr>
        <w:t>2</w:t>
      </w:r>
      <w:r w:rsidRPr="00D9776A">
        <w:rPr>
          <w:rFonts w:ascii="Times New Roman" w:hAnsi="Times New Roman" w:cs="Times New Roman"/>
          <w:b w:val="0"/>
          <w:color w:val="auto"/>
          <w:sz w:val="24"/>
          <w:szCs w:val="24"/>
        </w:rPr>
        <w:fldChar w:fldCharType="end"/>
      </w:r>
      <w:r w:rsidRPr="00D9776A">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İşletmelere verilen krediler: koşullar ve kurallar</w:t>
      </w:r>
    </w:p>
    <w:p w:rsidR="00D9776A" w:rsidRDefault="00D9776A" w:rsidP="00635369">
      <w:pPr>
        <w:jc w:val="both"/>
        <w:rPr>
          <w:rFonts w:ascii="Times New Roman" w:hAnsi="Times New Roman" w:cs="Times New Roman"/>
        </w:rPr>
      </w:pPr>
      <w:r w:rsidRPr="00D9776A">
        <w:drawing>
          <wp:inline distT="0" distB="0" distL="0" distR="0">
            <wp:extent cx="4752975" cy="2615565"/>
            <wp:effectExtent l="0" t="0" r="952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975" cy="2615565"/>
                    </a:xfrm>
                    <a:prstGeom prst="rect">
                      <a:avLst/>
                    </a:prstGeom>
                    <a:noFill/>
                    <a:ln>
                      <a:noFill/>
                    </a:ln>
                  </pic:spPr>
                </pic:pic>
              </a:graphicData>
            </a:graphic>
          </wp:inline>
        </w:drawing>
      </w:r>
    </w:p>
    <w:p w:rsidR="003A0A58" w:rsidRDefault="00EC281B" w:rsidP="00635369">
      <w:pPr>
        <w:jc w:val="both"/>
        <w:rPr>
          <w:rFonts w:ascii="Times New Roman" w:hAnsi="Times New Roman" w:cs="Times New Roman"/>
        </w:rPr>
      </w:pPr>
      <w:r>
        <w:rPr>
          <w:rFonts w:ascii="Times New Roman" w:hAnsi="Times New Roman" w:cs="Times New Roman"/>
        </w:rPr>
        <w:t>2015</w:t>
      </w:r>
      <w:r w:rsidR="003A0A58">
        <w:rPr>
          <w:rFonts w:ascii="Times New Roman" w:hAnsi="Times New Roman" w:cs="Times New Roman"/>
        </w:rPr>
        <w:t xml:space="preserve"> yılı </w:t>
      </w:r>
      <w:r>
        <w:rPr>
          <w:rFonts w:ascii="Times New Roman" w:hAnsi="Times New Roman" w:cs="Times New Roman"/>
        </w:rPr>
        <w:t>ilk</w:t>
      </w:r>
      <w:r w:rsidR="003A0A58">
        <w:rPr>
          <w:rFonts w:ascii="Times New Roman" w:hAnsi="Times New Roman" w:cs="Times New Roman"/>
        </w:rPr>
        <w:t xml:space="preserve"> çeyreğinde genel olarak işletmelerin banka kredilerine </w:t>
      </w:r>
      <w:r>
        <w:rPr>
          <w:rFonts w:ascii="Times New Roman" w:hAnsi="Times New Roman" w:cs="Times New Roman"/>
        </w:rPr>
        <w:t>olan talebinin bir önceki çeyreğ</w:t>
      </w:r>
      <w:r w:rsidR="003A0A58">
        <w:rPr>
          <w:rFonts w:ascii="Times New Roman" w:hAnsi="Times New Roman" w:cs="Times New Roman"/>
        </w:rPr>
        <w:t xml:space="preserve">e kıyasla daraldığı görülmektedir. </w:t>
      </w:r>
      <w:r>
        <w:rPr>
          <w:rFonts w:ascii="Times New Roman" w:hAnsi="Times New Roman" w:cs="Times New Roman"/>
        </w:rPr>
        <w:t>Bankalar, kredi talebindeki daralmanın temelinde sabit yatırımlar ile diğer bankalardan alınan kredilerin yattığını belirtmiştir</w:t>
      </w:r>
      <w:r w:rsidR="00CE3EDB">
        <w:rPr>
          <w:rFonts w:ascii="Times New Roman" w:hAnsi="Times New Roman" w:cs="Times New Roman"/>
        </w:rPr>
        <w:t>.</w:t>
      </w:r>
      <w:r>
        <w:rPr>
          <w:rFonts w:ascii="Times New Roman" w:hAnsi="Times New Roman" w:cs="Times New Roman"/>
        </w:rPr>
        <w:t xml:space="preserve"> Bununla birlikte stok artırımı ve işletme sermayesi gereksinimi ile borcun yeniden yapılandırılması ve satıcıların peşin alımlarda uyguladığı </w:t>
      </w:r>
      <w:proofErr w:type="spellStart"/>
      <w:r>
        <w:rPr>
          <w:rFonts w:ascii="Times New Roman" w:hAnsi="Times New Roman" w:cs="Times New Roman"/>
        </w:rPr>
        <w:t>iskonto</w:t>
      </w:r>
      <w:proofErr w:type="spellEnd"/>
      <w:r>
        <w:rPr>
          <w:rFonts w:ascii="Times New Roman" w:hAnsi="Times New Roman" w:cs="Times New Roman"/>
        </w:rPr>
        <w:t xml:space="preserve"> ve kolaylıkların talebi artırıcı yönde etkisi olduğu da ifade edilmiştir. 2015 yılının ikinci çeyreğinde kredi talebindeki daralmanın devam edeceği beklenmektedir.</w:t>
      </w:r>
    </w:p>
    <w:p w:rsidR="0080456D" w:rsidRDefault="0080456D" w:rsidP="00635369">
      <w:pPr>
        <w:jc w:val="both"/>
        <w:rPr>
          <w:rFonts w:ascii="Times New Roman" w:hAnsi="Times New Roman" w:cs="Times New Roman"/>
        </w:rPr>
      </w:pPr>
      <w:r w:rsidRPr="00B25931">
        <w:rPr>
          <w:rFonts w:ascii="Times New Roman" w:hAnsi="Times New Roman" w:cs="Times New Roman"/>
        </w:rPr>
        <w:t>Birey</w:t>
      </w:r>
      <w:r>
        <w:rPr>
          <w:rFonts w:ascii="Times New Roman" w:hAnsi="Times New Roman" w:cs="Times New Roman"/>
        </w:rPr>
        <w:t>sel kredilere uygulanan standartlar</w:t>
      </w:r>
      <w:r w:rsidR="00B25931">
        <w:rPr>
          <w:rFonts w:ascii="Times New Roman" w:hAnsi="Times New Roman" w:cs="Times New Roman"/>
        </w:rPr>
        <w:t>ın değişimi</w:t>
      </w:r>
      <w:r>
        <w:rPr>
          <w:rFonts w:ascii="Times New Roman" w:hAnsi="Times New Roman" w:cs="Times New Roman"/>
        </w:rPr>
        <w:t xml:space="preserve"> incelendiğinde, </w:t>
      </w:r>
      <w:r w:rsidR="00B25931">
        <w:rPr>
          <w:rFonts w:ascii="Times New Roman" w:hAnsi="Times New Roman" w:cs="Times New Roman"/>
        </w:rPr>
        <w:t>konut ve taşıt kredilerinde standartların gevşetildiği, diğer bireysel kredilere uygulanan standartların ise sıkılaştırıldığı gözlenmiştir</w:t>
      </w:r>
      <w:r w:rsidR="00BD503F">
        <w:rPr>
          <w:rFonts w:ascii="Times New Roman" w:hAnsi="Times New Roman" w:cs="Times New Roman"/>
        </w:rPr>
        <w:t>.</w:t>
      </w:r>
      <w:r w:rsidR="00B25931">
        <w:rPr>
          <w:rFonts w:ascii="Times New Roman" w:hAnsi="Times New Roman" w:cs="Times New Roman"/>
        </w:rPr>
        <w:t xml:space="preserve"> Konut kredilerindeki standartların gevşetilmesi esas olarak banka dışı mali kesimin rekabeti olarak belirtilmiştir. Taşıt kredilerindeki standartların gevşetilmesi ise fon maliyetleri ve bilanço kısıtlamaları ile rekabet baskısına ilişkin faktörler kaynaklı olmuştur. Diğer bireysel kredilerde, bankaların rekabeti ile fon maliyetleri ve bilanço kısıtlamaları gevşetici yönde etki etse de, tüketicilerin kredi itibarı ve genel ekonomik faaliyetlere ilişkin beklentiler standartların sıkılaştırılması sonucunun doğmasına neden olmuştur. 2015 yılı ikinci çeyreğine ilişkin beklentilerin, konut ve taşıt kredilerine uygulanan standartların esas olarak değişmeyeceği ve diğer bireysel kredilere uygulanan standartların ise gevşetileceği yönünde olduğu görülmektedir.</w:t>
      </w:r>
    </w:p>
    <w:p w:rsidR="00340A81" w:rsidRDefault="00B25931" w:rsidP="00635369">
      <w:pPr>
        <w:jc w:val="both"/>
        <w:rPr>
          <w:rFonts w:ascii="Times New Roman" w:hAnsi="Times New Roman" w:cs="Times New Roman"/>
        </w:rPr>
      </w:pPr>
      <w:r>
        <w:rPr>
          <w:rFonts w:ascii="Times New Roman" w:hAnsi="Times New Roman" w:cs="Times New Roman"/>
        </w:rPr>
        <w:t>B</w:t>
      </w:r>
      <w:r w:rsidR="0080456D">
        <w:rPr>
          <w:rFonts w:ascii="Times New Roman" w:hAnsi="Times New Roman" w:cs="Times New Roman"/>
        </w:rPr>
        <w:t>ankalar</w:t>
      </w:r>
      <w:r>
        <w:rPr>
          <w:rFonts w:ascii="Times New Roman" w:hAnsi="Times New Roman" w:cs="Times New Roman"/>
        </w:rPr>
        <w:t>, 2015 yılı ilk çeyreğinde</w:t>
      </w:r>
      <w:r w:rsidR="0080456D">
        <w:rPr>
          <w:rFonts w:ascii="Times New Roman" w:hAnsi="Times New Roman" w:cs="Times New Roman"/>
        </w:rPr>
        <w:t xml:space="preserve"> bireysel krediler</w:t>
      </w:r>
      <w:r>
        <w:rPr>
          <w:rFonts w:ascii="Times New Roman" w:hAnsi="Times New Roman" w:cs="Times New Roman"/>
        </w:rPr>
        <w:t>e uygulanan koşul ve kuralları aynı bırakmayı tercih etmiştir.</w:t>
      </w:r>
    </w:p>
    <w:p w:rsidR="00A97E49" w:rsidRPr="0080456D" w:rsidRDefault="00A97E49" w:rsidP="00A97E49">
      <w:pPr>
        <w:pStyle w:val="ResimYazs"/>
        <w:keepNext/>
        <w:jc w:val="both"/>
        <w:rPr>
          <w:rFonts w:ascii="Times New Roman" w:hAnsi="Times New Roman" w:cs="Times New Roman"/>
          <w:b w:val="0"/>
          <w:bCs w:val="0"/>
          <w:color w:val="auto"/>
          <w:sz w:val="22"/>
          <w:szCs w:val="22"/>
        </w:rPr>
      </w:pPr>
      <w:r w:rsidRPr="0080456D">
        <w:rPr>
          <w:rFonts w:ascii="Times New Roman" w:hAnsi="Times New Roman" w:cs="Times New Roman"/>
          <w:b w:val="0"/>
          <w:bCs w:val="0"/>
          <w:color w:val="auto"/>
          <w:sz w:val="22"/>
          <w:szCs w:val="22"/>
        </w:rPr>
        <w:t xml:space="preserve">Şekil </w:t>
      </w:r>
      <w:r w:rsidRPr="0080456D">
        <w:rPr>
          <w:rFonts w:ascii="Times New Roman" w:hAnsi="Times New Roman" w:cs="Times New Roman"/>
          <w:b w:val="0"/>
          <w:bCs w:val="0"/>
          <w:color w:val="auto"/>
          <w:sz w:val="22"/>
          <w:szCs w:val="22"/>
        </w:rPr>
        <w:fldChar w:fldCharType="begin"/>
      </w:r>
      <w:r w:rsidRPr="0080456D">
        <w:rPr>
          <w:rFonts w:ascii="Times New Roman" w:hAnsi="Times New Roman" w:cs="Times New Roman"/>
          <w:b w:val="0"/>
          <w:bCs w:val="0"/>
          <w:color w:val="auto"/>
          <w:sz w:val="22"/>
          <w:szCs w:val="22"/>
        </w:rPr>
        <w:instrText xml:space="preserve"> SEQ Şekil \* ARABIC </w:instrText>
      </w:r>
      <w:r w:rsidRPr="0080456D">
        <w:rPr>
          <w:rFonts w:ascii="Times New Roman" w:hAnsi="Times New Roman" w:cs="Times New Roman"/>
          <w:b w:val="0"/>
          <w:bCs w:val="0"/>
          <w:color w:val="auto"/>
          <w:sz w:val="22"/>
          <w:szCs w:val="22"/>
        </w:rPr>
        <w:fldChar w:fldCharType="separate"/>
      </w:r>
      <w:r w:rsidR="00730878">
        <w:rPr>
          <w:rFonts w:ascii="Times New Roman" w:hAnsi="Times New Roman" w:cs="Times New Roman"/>
          <w:b w:val="0"/>
          <w:bCs w:val="0"/>
          <w:noProof/>
          <w:color w:val="auto"/>
          <w:sz w:val="22"/>
          <w:szCs w:val="22"/>
        </w:rPr>
        <w:t>2</w:t>
      </w:r>
      <w:r w:rsidRPr="0080456D">
        <w:rPr>
          <w:rFonts w:ascii="Times New Roman" w:hAnsi="Times New Roman" w:cs="Times New Roman"/>
          <w:b w:val="0"/>
          <w:bCs w:val="0"/>
          <w:color w:val="auto"/>
          <w:sz w:val="22"/>
          <w:szCs w:val="22"/>
        </w:rPr>
        <w:fldChar w:fldCharType="end"/>
      </w:r>
      <w:r w:rsidRPr="0080456D">
        <w:rPr>
          <w:rFonts w:ascii="Times New Roman" w:hAnsi="Times New Roman" w:cs="Times New Roman"/>
          <w:b w:val="0"/>
          <w:bCs w:val="0"/>
          <w:color w:val="auto"/>
          <w:sz w:val="22"/>
          <w:szCs w:val="22"/>
        </w:rPr>
        <w:t>: Bireysel kredi</w:t>
      </w:r>
      <w:r w:rsidR="0080456D" w:rsidRPr="0080456D">
        <w:rPr>
          <w:rFonts w:ascii="Times New Roman" w:hAnsi="Times New Roman" w:cs="Times New Roman"/>
          <w:b w:val="0"/>
          <w:bCs w:val="0"/>
          <w:color w:val="auto"/>
          <w:sz w:val="22"/>
          <w:szCs w:val="22"/>
        </w:rPr>
        <w:t xml:space="preserve"> talebinde değişim bildiren bankaların net yüzde oranları (&gt;0 = Arttı; &lt;0 = Azaldı)</w:t>
      </w:r>
    </w:p>
    <w:p w:rsidR="00CE3EDB" w:rsidRDefault="00BD503F" w:rsidP="00635369">
      <w:pPr>
        <w:jc w:val="both"/>
        <w:rPr>
          <w:rFonts w:ascii="Times New Roman" w:hAnsi="Times New Roman" w:cs="Times New Roman"/>
        </w:rPr>
      </w:pPr>
      <w:r w:rsidRPr="00BD503F">
        <w:drawing>
          <wp:inline distT="0" distB="0" distL="0" distR="0" wp14:anchorId="3B804BF4" wp14:editId="43EEA7AE">
            <wp:extent cx="5972810" cy="7121427"/>
            <wp:effectExtent l="0" t="0" r="8890" b="381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2810" cy="7121427"/>
                    </a:xfrm>
                    <a:prstGeom prst="rect">
                      <a:avLst/>
                    </a:prstGeom>
                    <a:noFill/>
                    <a:ln>
                      <a:noFill/>
                    </a:ln>
                  </pic:spPr>
                </pic:pic>
              </a:graphicData>
            </a:graphic>
          </wp:inline>
        </w:drawing>
      </w:r>
    </w:p>
    <w:p w:rsidR="0080456D" w:rsidRPr="0080456D" w:rsidRDefault="0080456D" w:rsidP="00635369">
      <w:pPr>
        <w:jc w:val="both"/>
        <w:rPr>
          <w:rFonts w:ascii="Times New Roman" w:hAnsi="Times New Roman" w:cs="Times New Roman"/>
          <w:sz w:val="16"/>
        </w:rPr>
      </w:pPr>
      <w:r w:rsidRPr="0080456D">
        <w:rPr>
          <w:rFonts w:ascii="Times New Roman" w:hAnsi="Times New Roman" w:cs="Times New Roman"/>
          <w:sz w:val="16"/>
        </w:rPr>
        <w:t>Kaynak: TCMB</w:t>
      </w:r>
    </w:p>
    <w:p w:rsidR="00BD503F" w:rsidRDefault="00BD503F" w:rsidP="00340A81">
      <w:pPr>
        <w:jc w:val="both"/>
        <w:rPr>
          <w:rFonts w:ascii="Times New Roman" w:hAnsi="Times New Roman" w:cs="Times New Roman"/>
        </w:rPr>
      </w:pPr>
      <w:r>
        <w:rPr>
          <w:rFonts w:ascii="Times New Roman" w:hAnsi="Times New Roman" w:cs="Times New Roman"/>
        </w:rPr>
        <w:t xml:space="preserve">2015 yılı ilk çeyreği </w:t>
      </w:r>
      <w:r w:rsidR="00340A81">
        <w:rPr>
          <w:rFonts w:ascii="Times New Roman" w:hAnsi="Times New Roman" w:cs="Times New Roman"/>
        </w:rPr>
        <w:t xml:space="preserve">itibarıyla </w:t>
      </w:r>
      <w:r>
        <w:rPr>
          <w:rFonts w:ascii="Times New Roman" w:hAnsi="Times New Roman" w:cs="Times New Roman"/>
        </w:rPr>
        <w:t>konut ve diğer bireysel kredilere</w:t>
      </w:r>
      <w:r w:rsidR="00340A81">
        <w:rPr>
          <w:rFonts w:ascii="Times New Roman" w:hAnsi="Times New Roman" w:cs="Times New Roman"/>
        </w:rPr>
        <w:t xml:space="preserve"> olan talepte artış yaşandığı tespit edilmiştir. </w:t>
      </w:r>
      <w:r>
        <w:rPr>
          <w:rFonts w:ascii="Times New Roman" w:hAnsi="Times New Roman" w:cs="Times New Roman"/>
        </w:rPr>
        <w:t>Taşıt kredilerine olan talep ise azalmıştır. Konut piyasasına ilişkin beklentiler, konut kredilerine olan talebin artmasının ardındaki temel neden olarak gösterilmiştir. Taşıt kredilerine olan talebin azalması ise beklentilerin ve alternatif finansman kullanımındaki talebin azaltıcı etkisinden kaynaklanmıştır. Diğer bireysel kredilere olan talepteki artışa, dayanıklı tüketim mallarına yapılan harcama ve diğer bankalardan sağlanan kredilerin artırıcı etkisi kaynaklık etmiştir. 2015 yılı ikinci çeyreğine ilişkin beklentiler, konut ve taşıt kredilerine olan talebin gerilemesi, diğer bireysel kredilere olan talebin ise artmaya devam edeceği yönündedir.</w:t>
      </w:r>
    </w:p>
    <w:p w:rsidR="00256599" w:rsidRPr="00256599" w:rsidRDefault="00340A81" w:rsidP="00340A81">
      <w:pPr>
        <w:jc w:val="both"/>
        <w:rPr>
          <w:rFonts w:ascii="Times New Roman" w:hAnsi="Times New Roman" w:cs="Times New Roman"/>
        </w:rPr>
      </w:pPr>
      <w:r>
        <w:rPr>
          <w:rFonts w:ascii="Times New Roman" w:hAnsi="Times New Roman" w:cs="Times New Roman"/>
        </w:rPr>
        <w:t>Son olarak bankaların fonlama koşullarını incelemek gerekirse, yurt içi fonlama koşulların</w:t>
      </w:r>
      <w:r w:rsidR="00B14F60">
        <w:rPr>
          <w:rFonts w:ascii="Times New Roman" w:hAnsi="Times New Roman" w:cs="Times New Roman"/>
        </w:rPr>
        <w:t>ın 2015</w:t>
      </w:r>
      <w:r w:rsidR="00AD24E4">
        <w:rPr>
          <w:rFonts w:ascii="Times New Roman" w:hAnsi="Times New Roman" w:cs="Times New Roman"/>
        </w:rPr>
        <w:t xml:space="preserve"> yılının </w:t>
      </w:r>
      <w:r w:rsidR="00B14F60">
        <w:rPr>
          <w:rFonts w:ascii="Times New Roman" w:hAnsi="Times New Roman" w:cs="Times New Roman"/>
        </w:rPr>
        <w:t>ilk çeyreğinde sıkılaştırıldığı görülmektedir</w:t>
      </w:r>
      <w:r w:rsidR="00256599">
        <w:rPr>
          <w:rFonts w:ascii="Times New Roman" w:hAnsi="Times New Roman" w:cs="Times New Roman"/>
        </w:rPr>
        <w:t xml:space="preserve">. </w:t>
      </w:r>
      <w:r w:rsidR="00B14F60">
        <w:rPr>
          <w:rFonts w:ascii="Times New Roman" w:hAnsi="Times New Roman" w:cs="Times New Roman"/>
        </w:rPr>
        <w:t>Yurt dışı fonlama koşulları</w:t>
      </w:r>
      <w:r w:rsidR="00256599">
        <w:rPr>
          <w:rFonts w:ascii="Times New Roman" w:hAnsi="Times New Roman" w:cs="Times New Roman"/>
        </w:rPr>
        <w:t xml:space="preserve"> ise </w:t>
      </w:r>
      <w:r w:rsidR="00B14F60">
        <w:rPr>
          <w:rFonts w:ascii="Times New Roman" w:hAnsi="Times New Roman" w:cs="Times New Roman"/>
        </w:rPr>
        <w:t>beklentilere paralel olarak fonlama maliyeti ve diğer koşul ve kuralların etkisiyle 2015 yılı ilk çeyreğinde sıkılaştırılmıştır.</w:t>
      </w:r>
      <w:r w:rsidR="00256599">
        <w:rPr>
          <w:rFonts w:ascii="Times New Roman" w:hAnsi="Times New Roman" w:cs="Times New Roman"/>
        </w:rPr>
        <w:t xml:space="preserve"> </w:t>
      </w:r>
      <w:r w:rsidR="00B14F60">
        <w:rPr>
          <w:rFonts w:ascii="Times New Roman" w:hAnsi="Times New Roman" w:cs="Times New Roman"/>
        </w:rPr>
        <w:t>2015 yılı ikinci çeyreğe ilişkin beklentiler de yurt içi ve yurt dışı fonlama koşullarındaki sıkılaştırmanın devam edeceği yönündedir (Şekil 3).</w:t>
      </w:r>
    </w:p>
    <w:p w:rsidR="00256599" w:rsidRPr="00256599" w:rsidRDefault="00256599" w:rsidP="00256599">
      <w:pPr>
        <w:pStyle w:val="ResimYazs"/>
        <w:keepNext/>
        <w:jc w:val="both"/>
        <w:rPr>
          <w:rFonts w:ascii="Times New Roman" w:hAnsi="Times New Roman" w:cs="Times New Roman"/>
          <w:b w:val="0"/>
          <w:bCs w:val="0"/>
          <w:color w:val="auto"/>
          <w:sz w:val="22"/>
          <w:szCs w:val="22"/>
        </w:rPr>
      </w:pPr>
      <w:r w:rsidRPr="00256599">
        <w:rPr>
          <w:rFonts w:ascii="Times New Roman" w:hAnsi="Times New Roman" w:cs="Times New Roman"/>
          <w:b w:val="0"/>
          <w:bCs w:val="0"/>
          <w:color w:val="auto"/>
          <w:sz w:val="22"/>
          <w:szCs w:val="22"/>
        </w:rPr>
        <w:t xml:space="preserve">Şekil </w:t>
      </w:r>
      <w:r w:rsidRPr="00256599">
        <w:rPr>
          <w:rFonts w:ascii="Times New Roman" w:hAnsi="Times New Roman" w:cs="Times New Roman"/>
          <w:b w:val="0"/>
          <w:bCs w:val="0"/>
          <w:color w:val="auto"/>
          <w:sz w:val="22"/>
          <w:szCs w:val="22"/>
        </w:rPr>
        <w:fldChar w:fldCharType="begin"/>
      </w:r>
      <w:r w:rsidRPr="00256599">
        <w:rPr>
          <w:rFonts w:ascii="Times New Roman" w:hAnsi="Times New Roman" w:cs="Times New Roman"/>
          <w:b w:val="0"/>
          <w:bCs w:val="0"/>
          <w:color w:val="auto"/>
          <w:sz w:val="22"/>
          <w:szCs w:val="22"/>
        </w:rPr>
        <w:instrText xml:space="preserve"> SEQ Şekil \* ARABIC </w:instrText>
      </w:r>
      <w:r w:rsidRPr="00256599">
        <w:rPr>
          <w:rFonts w:ascii="Times New Roman" w:hAnsi="Times New Roman" w:cs="Times New Roman"/>
          <w:b w:val="0"/>
          <w:bCs w:val="0"/>
          <w:color w:val="auto"/>
          <w:sz w:val="22"/>
          <w:szCs w:val="22"/>
        </w:rPr>
        <w:fldChar w:fldCharType="separate"/>
      </w:r>
      <w:r w:rsidR="00730878">
        <w:rPr>
          <w:rFonts w:ascii="Times New Roman" w:hAnsi="Times New Roman" w:cs="Times New Roman"/>
          <w:b w:val="0"/>
          <w:bCs w:val="0"/>
          <w:noProof/>
          <w:color w:val="auto"/>
          <w:sz w:val="22"/>
          <w:szCs w:val="22"/>
        </w:rPr>
        <w:t>3</w:t>
      </w:r>
      <w:r w:rsidRPr="00256599">
        <w:rPr>
          <w:rFonts w:ascii="Times New Roman" w:hAnsi="Times New Roman" w:cs="Times New Roman"/>
          <w:b w:val="0"/>
          <w:bCs w:val="0"/>
          <w:color w:val="auto"/>
          <w:sz w:val="22"/>
          <w:szCs w:val="22"/>
        </w:rPr>
        <w:fldChar w:fldCharType="end"/>
      </w:r>
      <w:r w:rsidRPr="00256599">
        <w:rPr>
          <w:rFonts w:ascii="Times New Roman" w:hAnsi="Times New Roman" w:cs="Times New Roman"/>
          <w:b w:val="0"/>
          <w:bCs w:val="0"/>
          <w:color w:val="auto"/>
          <w:sz w:val="22"/>
          <w:szCs w:val="22"/>
        </w:rPr>
        <w:t>: Fonlama koşullarında değişim bildiren bankaların net yüzde oranları (&gt;0 = Gevşeme; &lt;0 = Sıkılaşma)</w:t>
      </w:r>
    </w:p>
    <w:p w:rsidR="00340A81" w:rsidRDefault="00B14F60" w:rsidP="00635369">
      <w:pPr>
        <w:jc w:val="both"/>
        <w:rPr>
          <w:rFonts w:ascii="Times New Roman" w:hAnsi="Times New Roman" w:cs="Times New Roman"/>
        </w:rPr>
      </w:pPr>
      <w:r w:rsidRPr="00B14F60">
        <w:drawing>
          <wp:inline distT="0" distB="0" distL="0" distR="0" wp14:anchorId="18F0E4EC" wp14:editId="6C8AEF8C">
            <wp:extent cx="5972810" cy="232630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2810" cy="2326300"/>
                    </a:xfrm>
                    <a:prstGeom prst="rect">
                      <a:avLst/>
                    </a:prstGeom>
                    <a:noFill/>
                    <a:ln>
                      <a:noFill/>
                    </a:ln>
                  </pic:spPr>
                </pic:pic>
              </a:graphicData>
            </a:graphic>
          </wp:inline>
        </w:drawing>
      </w:r>
    </w:p>
    <w:p w:rsidR="00256599" w:rsidRPr="00256599" w:rsidRDefault="00256599" w:rsidP="00635369">
      <w:pPr>
        <w:jc w:val="both"/>
        <w:rPr>
          <w:rFonts w:ascii="Times New Roman" w:hAnsi="Times New Roman" w:cs="Times New Roman"/>
          <w:sz w:val="20"/>
        </w:rPr>
      </w:pPr>
      <w:r w:rsidRPr="00256599">
        <w:rPr>
          <w:rFonts w:ascii="Times New Roman" w:hAnsi="Times New Roman" w:cs="Times New Roman"/>
          <w:sz w:val="20"/>
        </w:rPr>
        <w:t>Kaynak: TCMB</w:t>
      </w:r>
    </w:p>
    <w:sectPr w:rsidR="00256599" w:rsidRPr="00256599" w:rsidSect="00432DF5">
      <w:footerReference w:type="default" r:id="rId1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C1B" w:rsidRDefault="001C1C1B" w:rsidP="004A23EE">
      <w:pPr>
        <w:spacing w:after="0" w:line="240" w:lineRule="auto"/>
      </w:pPr>
      <w:r>
        <w:separator/>
      </w:r>
    </w:p>
  </w:endnote>
  <w:endnote w:type="continuationSeparator" w:id="0">
    <w:p w:rsidR="001C1C1B" w:rsidRDefault="001C1C1B" w:rsidP="004A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4229"/>
      <w:docPartObj>
        <w:docPartGallery w:val="Page Numbers (Bottom of Page)"/>
        <w:docPartUnique/>
      </w:docPartObj>
    </w:sdtPr>
    <w:sdtEndPr/>
    <w:sdtContent>
      <w:p w:rsidR="00340A81" w:rsidRDefault="001C1C1B">
        <w:pPr>
          <w:pStyle w:val="Altbilgi"/>
          <w:jc w:val="right"/>
        </w:pPr>
        <w:r>
          <w:fldChar w:fldCharType="begin"/>
        </w:r>
        <w:r>
          <w:instrText xml:space="preserve"> PAGE   \* MERGEFORMAT </w:instrText>
        </w:r>
        <w:r>
          <w:fldChar w:fldCharType="separate"/>
        </w:r>
        <w:r w:rsidR="00EB4339">
          <w:rPr>
            <w:noProof/>
          </w:rPr>
          <w:t>1</w:t>
        </w:r>
        <w:r>
          <w:rPr>
            <w:noProof/>
          </w:rPr>
          <w:fldChar w:fldCharType="end"/>
        </w:r>
      </w:p>
    </w:sdtContent>
  </w:sdt>
  <w:p w:rsidR="00340A81" w:rsidRDefault="00340A8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C1B" w:rsidRDefault="001C1C1B" w:rsidP="004A23EE">
      <w:pPr>
        <w:spacing w:after="0" w:line="240" w:lineRule="auto"/>
      </w:pPr>
      <w:r>
        <w:separator/>
      </w:r>
    </w:p>
  </w:footnote>
  <w:footnote w:type="continuationSeparator" w:id="0">
    <w:p w:rsidR="001C1C1B" w:rsidRDefault="001C1C1B" w:rsidP="004A23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355"/>
    <w:rsid w:val="000355DB"/>
    <w:rsid w:val="000701FD"/>
    <w:rsid w:val="00077DBA"/>
    <w:rsid w:val="000D18BE"/>
    <w:rsid w:val="000D1FAF"/>
    <w:rsid w:val="000D6E64"/>
    <w:rsid w:val="0011593B"/>
    <w:rsid w:val="00132809"/>
    <w:rsid w:val="00146E16"/>
    <w:rsid w:val="0017350D"/>
    <w:rsid w:val="00190AA1"/>
    <w:rsid w:val="001C1C1B"/>
    <w:rsid w:val="001C74C3"/>
    <w:rsid w:val="001E11A2"/>
    <w:rsid w:val="001E2BE3"/>
    <w:rsid w:val="001E5A63"/>
    <w:rsid w:val="001F27E9"/>
    <w:rsid w:val="001F7633"/>
    <w:rsid w:val="00200562"/>
    <w:rsid w:val="002165C3"/>
    <w:rsid w:val="002338B9"/>
    <w:rsid w:val="00233BD5"/>
    <w:rsid w:val="00243F52"/>
    <w:rsid w:val="00251C0B"/>
    <w:rsid w:val="00256599"/>
    <w:rsid w:val="002942B2"/>
    <w:rsid w:val="002963F9"/>
    <w:rsid w:val="002D3E19"/>
    <w:rsid w:val="0033501E"/>
    <w:rsid w:val="00340A81"/>
    <w:rsid w:val="00357954"/>
    <w:rsid w:val="003641B3"/>
    <w:rsid w:val="00377483"/>
    <w:rsid w:val="003A0A58"/>
    <w:rsid w:val="003A57CB"/>
    <w:rsid w:val="00412381"/>
    <w:rsid w:val="00432DF5"/>
    <w:rsid w:val="00465103"/>
    <w:rsid w:val="004A23EE"/>
    <w:rsid w:val="004B2EF3"/>
    <w:rsid w:val="004E1F2F"/>
    <w:rsid w:val="00521E1F"/>
    <w:rsid w:val="00537A36"/>
    <w:rsid w:val="005405F5"/>
    <w:rsid w:val="00543E32"/>
    <w:rsid w:val="0055668B"/>
    <w:rsid w:val="00574C38"/>
    <w:rsid w:val="00591547"/>
    <w:rsid w:val="005B25D6"/>
    <w:rsid w:val="005C53F8"/>
    <w:rsid w:val="006020BD"/>
    <w:rsid w:val="00627A46"/>
    <w:rsid w:val="00635369"/>
    <w:rsid w:val="00666219"/>
    <w:rsid w:val="0067515A"/>
    <w:rsid w:val="00695016"/>
    <w:rsid w:val="00696DEC"/>
    <w:rsid w:val="006A687D"/>
    <w:rsid w:val="006D41B5"/>
    <w:rsid w:val="006F7865"/>
    <w:rsid w:val="0070186C"/>
    <w:rsid w:val="007110AD"/>
    <w:rsid w:val="00730878"/>
    <w:rsid w:val="00731B2B"/>
    <w:rsid w:val="007330A1"/>
    <w:rsid w:val="007441EB"/>
    <w:rsid w:val="00771314"/>
    <w:rsid w:val="007736BE"/>
    <w:rsid w:val="00790F23"/>
    <w:rsid w:val="007A3A18"/>
    <w:rsid w:val="007D79D8"/>
    <w:rsid w:val="0080456D"/>
    <w:rsid w:val="00882AC1"/>
    <w:rsid w:val="008C2C15"/>
    <w:rsid w:val="008D1077"/>
    <w:rsid w:val="00911741"/>
    <w:rsid w:val="00917F91"/>
    <w:rsid w:val="00926BDB"/>
    <w:rsid w:val="009805F0"/>
    <w:rsid w:val="009F54F1"/>
    <w:rsid w:val="00A3231D"/>
    <w:rsid w:val="00A51EF0"/>
    <w:rsid w:val="00A77365"/>
    <w:rsid w:val="00A814BE"/>
    <w:rsid w:val="00A97E49"/>
    <w:rsid w:val="00AA6D2C"/>
    <w:rsid w:val="00AD2065"/>
    <w:rsid w:val="00AD24E4"/>
    <w:rsid w:val="00AE3004"/>
    <w:rsid w:val="00AF4150"/>
    <w:rsid w:val="00B14F60"/>
    <w:rsid w:val="00B17F99"/>
    <w:rsid w:val="00B25931"/>
    <w:rsid w:val="00B33D14"/>
    <w:rsid w:val="00B42947"/>
    <w:rsid w:val="00B50A79"/>
    <w:rsid w:val="00B80B7E"/>
    <w:rsid w:val="00B8612E"/>
    <w:rsid w:val="00B95D44"/>
    <w:rsid w:val="00BC294E"/>
    <w:rsid w:val="00BC5F10"/>
    <w:rsid w:val="00BC61F1"/>
    <w:rsid w:val="00BD41E2"/>
    <w:rsid w:val="00BD503F"/>
    <w:rsid w:val="00BE5D6A"/>
    <w:rsid w:val="00BF3E70"/>
    <w:rsid w:val="00C144CC"/>
    <w:rsid w:val="00C21D8B"/>
    <w:rsid w:val="00C61B29"/>
    <w:rsid w:val="00CA0A21"/>
    <w:rsid w:val="00CC7D5F"/>
    <w:rsid w:val="00CE3EDB"/>
    <w:rsid w:val="00D2299D"/>
    <w:rsid w:val="00D23355"/>
    <w:rsid w:val="00D76048"/>
    <w:rsid w:val="00D875DB"/>
    <w:rsid w:val="00D9776A"/>
    <w:rsid w:val="00DC5FDC"/>
    <w:rsid w:val="00DE7934"/>
    <w:rsid w:val="00EB4339"/>
    <w:rsid w:val="00EB586D"/>
    <w:rsid w:val="00EC281B"/>
    <w:rsid w:val="00ED28D3"/>
    <w:rsid w:val="00EF4E45"/>
    <w:rsid w:val="00F130F8"/>
    <w:rsid w:val="00F175B2"/>
    <w:rsid w:val="00F82FEE"/>
    <w:rsid w:val="00F931C1"/>
    <w:rsid w:val="00FC06CF"/>
    <w:rsid w:val="00FC5B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ResimYazs">
    <w:name w:val="caption"/>
    <w:basedOn w:val="Normal"/>
    <w:next w:val="Normal"/>
    <w:uiPriority w:val="35"/>
    <w:unhideWhenUsed/>
    <w:qFormat/>
    <w:rsid w:val="002338B9"/>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ResimYazs">
    <w:name w:val="caption"/>
    <w:basedOn w:val="Normal"/>
    <w:next w:val="Normal"/>
    <w:uiPriority w:val="35"/>
    <w:unhideWhenUsed/>
    <w:qFormat/>
    <w:rsid w:val="002338B9"/>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546991225">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 w:id="151225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04EF9-5C35-4E4F-A6EC-97CA7DEDF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1141</Words>
  <Characters>6510</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Asus11PC</cp:lastModifiedBy>
  <cp:revision>16</cp:revision>
  <dcterms:created xsi:type="dcterms:W3CDTF">2015-04-10T06:34:00Z</dcterms:created>
  <dcterms:modified xsi:type="dcterms:W3CDTF">2015-04-10T10:15:00Z</dcterms:modified>
</cp:coreProperties>
</file>