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41E14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1E48">
              <w:rPr>
                <w:rFonts w:asciiTheme="majorHAnsi" w:eastAsiaTheme="majorEastAsia" w:hAnsiTheme="majorHAnsi" w:cstheme="majorBidi"/>
                <w:sz w:val="36"/>
                <w:szCs w:val="36"/>
              </w:rPr>
              <w:t>NİSAN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E14F76" w:rsidP="00981E48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 w:rsidR="00981E48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4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981E48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Nisan</w:t>
            </w:r>
            <w:r w:rsidR="00041E14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1A50F121" wp14:editId="2E3F3995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981E48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Nisan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>
        <w:rPr>
          <w:rFonts w:ascii="Times New Roman" w:hAnsi="Times New Roman" w:cs="Times New Roman"/>
          <w:b/>
        </w:rPr>
        <w:t>24</w:t>
      </w:r>
      <w:r w:rsidR="00BA0AF0" w:rsidRPr="002B5E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Nisan</w:t>
      </w:r>
      <w:r w:rsidR="004F0E94">
        <w:rPr>
          <w:rFonts w:ascii="Times New Roman" w:hAnsi="Times New Roman" w:cs="Times New Roman"/>
          <w:b/>
        </w:rPr>
        <w:t xml:space="preserve"> 2015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</w:pPr>
      <w:r>
        <w:t>İnşaat</w:t>
      </w:r>
      <w:r w:rsidRPr="002B5EAF">
        <w:t xml:space="preserve"> sektörü güven endeksi</w:t>
      </w:r>
    </w:p>
    <w:p w:rsidR="00BA0AF0" w:rsidRDefault="0045208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A0AF0" w:rsidRPr="00472839">
        <w:rPr>
          <w:rFonts w:ascii="Times New Roman" w:hAnsi="Times New Roman" w:cs="Times New Roman"/>
        </w:rPr>
        <w:t xml:space="preserve"> yılı </w:t>
      </w:r>
      <w:r w:rsidR="00C04185">
        <w:rPr>
          <w:rFonts w:ascii="Times New Roman" w:hAnsi="Times New Roman" w:cs="Times New Roman"/>
        </w:rPr>
        <w:t>Mart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C04185">
        <w:rPr>
          <w:rFonts w:ascii="Times New Roman" w:hAnsi="Times New Roman" w:cs="Times New Roman"/>
        </w:rPr>
        <w:t>83,4</w:t>
      </w:r>
      <w:r w:rsidR="00BA0AF0" w:rsidRPr="00472839">
        <w:rPr>
          <w:rFonts w:ascii="Times New Roman" w:hAnsi="Times New Roman" w:cs="Times New Roman"/>
        </w:rPr>
        <w:t xml:space="preserve"> olan mevsim etkilerinden arındırılmış inşaat sektörü güven endeksi, </w:t>
      </w:r>
      <w:r w:rsidR="00C04185">
        <w:rPr>
          <w:rFonts w:ascii="Times New Roman" w:hAnsi="Times New Roman" w:cs="Times New Roman"/>
        </w:rPr>
        <w:t>Nisan ayında 2</w:t>
      </w:r>
      <w:r w:rsidR="00A2299A"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/>
        </w:rPr>
        <w:t xml:space="preserve"> puan </w:t>
      </w:r>
      <w:r w:rsidR="00A2299A">
        <w:rPr>
          <w:rFonts w:ascii="Times New Roman" w:hAnsi="Times New Roman" w:cs="Times New Roman"/>
        </w:rPr>
        <w:t>azalarak</w:t>
      </w:r>
      <w:r w:rsidR="008C3A4E">
        <w:rPr>
          <w:rFonts w:ascii="Times New Roman" w:hAnsi="Times New Roman" w:cs="Times New Roman"/>
        </w:rPr>
        <w:t xml:space="preserve"> 8</w:t>
      </w:r>
      <w:r w:rsidR="00C04185">
        <w:rPr>
          <w:rFonts w:ascii="Times New Roman" w:hAnsi="Times New Roman" w:cs="Times New Roman"/>
        </w:rPr>
        <w:t>1,2</w:t>
      </w:r>
      <w:r w:rsidR="00BA0AF0" w:rsidRPr="00472839">
        <w:rPr>
          <w:rFonts w:ascii="Times New Roman" w:hAnsi="Times New Roman" w:cs="Times New Roman"/>
        </w:rPr>
        <w:t xml:space="preserve"> seviyesine </w:t>
      </w:r>
      <w:r w:rsidR="00A2299A">
        <w:rPr>
          <w:rFonts w:ascii="Times New Roman" w:hAnsi="Times New Roman" w:cs="Times New Roman"/>
        </w:rPr>
        <w:t>düşmüştür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C04185">
        <w:rPr>
          <w:rFonts w:ascii="Times New Roman" w:hAnsi="Times New Roman" w:cs="Times New Roman"/>
        </w:rPr>
        <w:t xml:space="preserve"> yılın aynı dönemine göre ise 79</w:t>
      </w:r>
      <w:r w:rsidR="003E7ABA" w:rsidRPr="00472839">
        <w:rPr>
          <w:rFonts w:ascii="Times New Roman" w:hAnsi="Times New Roman" w:cs="Times New Roman"/>
        </w:rPr>
        <w:t xml:space="preserve"> puan olan </w:t>
      </w:r>
      <w:r w:rsidR="00C04185">
        <w:rPr>
          <w:rFonts w:ascii="Times New Roman" w:hAnsi="Times New Roman" w:cs="Times New Roman"/>
        </w:rPr>
        <w:t>inşaat sektörü güven endeksi 2,1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3A4DE8">
        <w:rPr>
          <w:rFonts w:ascii="Times New Roman" w:hAnsi="Times New Roman" w:cs="Times New Roman"/>
        </w:rPr>
        <w:t>yükselerek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C04185">
        <w:rPr>
          <w:rFonts w:ascii="Times New Roman" w:hAnsi="Times New Roman" w:cs="Times New Roman"/>
        </w:rPr>
        <w:t>zde 2,7</w:t>
      </w:r>
      <w:r w:rsidR="003E7ABA" w:rsidRPr="00472839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artmıştır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DC3CEB" w:rsidRDefault="00E22179" w:rsidP="00BA0AF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2B5EAF">
        <w:rPr>
          <w:rFonts w:ascii="Times New Roman" w:hAnsi="Times New Roman" w:cs="Times New Roman"/>
        </w:rPr>
        <w:t>Mevsimlikten arındırılmamış inşaat sektörü güven endeksine bakıldığında ise, 201</w:t>
      </w:r>
      <w:r w:rsidR="00A270E3">
        <w:rPr>
          <w:rFonts w:ascii="Times New Roman" w:hAnsi="Times New Roman" w:cs="Times New Roman"/>
        </w:rPr>
        <w:t>5</w:t>
      </w:r>
      <w:r w:rsidRPr="002B5EAF">
        <w:rPr>
          <w:rFonts w:ascii="Times New Roman" w:hAnsi="Times New Roman" w:cs="Times New Roman"/>
        </w:rPr>
        <w:t xml:space="preserve"> yılı </w:t>
      </w:r>
      <w:r w:rsidR="002D467F">
        <w:rPr>
          <w:rFonts w:ascii="Times New Roman" w:hAnsi="Times New Roman" w:cs="Times New Roman"/>
        </w:rPr>
        <w:t>Nisan ayında bir önceki aya göre 1,1</w:t>
      </w:r>
      <w:r w:rsidRPr="002B5EAF">
        <w:rPr>
          <w:rFonts w:ascii="Times New Roman" w:hAnsi="Times New Roman" w:cs="Times New Roman"/>
        </w:rPr>
        <w:t xml:space="preserve"> puan </w:t>
      </w:r>
      <w:r w:rsidR="002D467F">
        <w:rPr>
          <w:rFonts w:ascii="Times New Roman" w:hAnsi="Times New Roman" w:cs="Times New Roman"/>
        </w:rPr>
        <w:t>azalarak 88,8</w:t>
      </w:r>
      <w:r w:rsidRPr="002B5EAF">
        <w:rPr>
          <w:rFonts w:ascii="Times New Roman" w:hAnsi="Times New Roman" w:cs="Times New Roman"/>
        </w:rPr>
        <w:t xml:space="preserve"> puana </w:t>
      </w:r>
      <w:r w:rsidR="002D467F">
        <w:rPr>
          <w:rFonts w:ascii="Times New Roman" w:hAnsi="Times New Roman" w:cs="Times New Roman"/>
        </w:rPr>
        <w:t>gerilemiştir</w:t>
      </w:r>
      <w:r w:rsidRPr="002B5EAF">
        <w:rPr>
          <w:rFonts w:ascii="Times New Roman" w:hAnsi="Times New Roman" w:cs="Times New Roman"/>
        </w:rPr>
        <w:t>. 201</w:t>
      </w:r>
      <w:r w:rsidR="00A270E3">
        <w:rPr>
          <w:rFonts w:ascii="Times New Roman" w:hAnsi="Times New Roman" w:cs="Times New Roman"/>
        </w:rPr>
        <w:t>4</w:t>
      </w:r>
      <w:r w:rsidRPr="002B5EAF">
        <w:rPr>
          <w:rFonts w:ascii="Times New Roman" w:hAnsi="Times New Roman" w:cs="Times New Roman"/>
        </w:rPr>
        <w:t xml:space="preserve"> </w:t>
      </w:r>
      <w:r w:rsidR="002D467F">
        <w:rPr>
          <w:rFonts w:ascii="Times New Roman" w:hAnsi="Times New Roman" w:cs="Times New Roman"/>
        </w:rPr>
        <w:t>Nisan</w:t>
      </w:r>
      <w:r w:rsidRPr="002B5EAF">
        <w:rPr>
          <w:rFonts w:ascii="Times New Roman" w:hAnsi="Times New Roman" w:cs="Times New Roman"/>
        </w:rPr>
        <w:t xml:space="preserve"> ayı verilerine göre incelendiğinde ise, yüzde </w:t>
      </w:r>
      <w:r w:rsidR="002D467F">
        <w:rPr>
          <w:rFonts w:ascii="Times New Roman" w:eastAsia="Times New Roman" w:hAnsi="Times New Roman" w:cs="Times New Roman"/>
          <w:color w:val="000000"/>
        </w:rPr>
        <w:t>2</w:t>
      </w:r>
      <w:r w:rsidR="00A270E3">
        <w:rPr>
          <w:rFonts w:ascii="Times New Roman" w:eastAsia="Times New Roman" w:hAnsi="Times New Roman" w:cs="Times New Roman"/>
          <w:color w:val="000000"/>
        </w:rPr>
        <w:t>,</w:t>
      </w:r>
      <w:r w:rsidR="00FD12B2">
        <w:rPr>
          <w:rFonts w:ascii="Times New Roman" w:eastAsia="Times New Roman" w:hAnsi="Times New Roman" w:cs="Times New Roman"/>
          <w:color w:val="000000"/>
        </w:rPr>
        <w:t>4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oranında </w:t>
      </w:r>
      <w:r w:rsidR="00FD12B2">
        <w:rPr>
          <w:rFonts w:ascii="Times New Roman" w:eastAsia="Times New Roman" w:hAnsi="Times New Roman" w:cs="Times New Roman"/>
          <w:color w:val="000000"/>
        </w:rPr>
        <w:t>arttığı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Pr="002B5EAF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AE146A">
        <w:rPr>
          <w:rFonts w:ascii="Times New Roman" w:hAnsi="Times New Roman" w:cs="Times New Roman"/>
          <w:sz w:val="22"/>
          <w:szCs w:val="22"/>
        </w:rPr>
        <w:t>Nisan</w:t>
      </w:r>
      <w:r w:rsidR="00A270E3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AE146A">
        <w:rPr>
          <w:rFonts w:ascii="Times New Roman" w:hAnsi="Times New Roman" w:cs="Times New Roman"/>
          <w:sz w:val="22"/>
          <w:szCs w:val="22"/>
        </w:rPr>
        <w:t>Nisan</w:t>
      </w:r>
      <w:r w:rsidR="00A270E3">
        <w:rPr>
          <w:rFonts w:ascii="Times New Roman" w:hAnsi="Times New Roman" w:cs="Times New Roman"/>
          <w:sz w:val="22"/>
          <w:szCs w:val="22"/>
        </w:rPr>
        <w:t xml:space="preserve"> 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AE146A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9A4EA90" wp14:editId="60B28576">
            <wp:extent cx="5804453" cy="2743200"/>
            <wp:effectExtent l="0" t="0" r="25400" b="1905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1204" w:rsidRPr="002B5EAF" w:rsidRDefault="00415908" w:rsidP="00CE56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6178F0">
        <w:rPr>
          <w:rFonts w:ascii="Times New Roman" w:hAnsi="Times New Roman" w:cs="Times New Roman"/>
        </w:rPr>
        <w:t>Mart 2015’te 65,8</w:t>
      </w:r>
      <w:r>
        <w:rPr>
          <w:rFonts w:ascii="Times New Roman" w:hAnsi="Times New Roman" w:cs="Times New Roman"/>
        </w:rPr>
        <w:t xml:space="preserve"> puan olan alınan</w:t>
      </w:r>
      <w:r w:rsidR="00B050DB">
        <w:rPr>
          <w:rFonts w:ascii="Times New Roman" w:hAnsi="Times New Roman" w:cs="Times New Roman"/>
        </w:rPr>
        <w:t xml:space="preserve"> kayıtlı</w:t>
      </w:r>
      <w:r>
        <w:rPr>
          <w:rFonts w:ascii="Times New Roman" w:hAnsi="Times New Roman" w:cs="Times New Roman"/>
        </w:rPr>
        <w:t xml:space="preserve"> siparişlerin mevcut düzeyinin, </w:t>
      </w:r>
      <w:r w:rsidR="006178F0">
        <w:rPr>
          <w:rFonts w:ascii="Times New Roman" w:hAnsi="Times New Roman" w:cs="Times New Roman"/>
        </w:rPr>
        <w:t>Nisan 2015’te 0,5</w:t>
      </w:r>
      <w:r>
        <w:rPr>
          <w:rFonts w:ascii="Times New Roman" w:hAnsi="Times New Roman" w:cs="Times New Roman"/>
        </w:rPr>
        <w:t xml:space="preserve"> puan </w:t>
      </w:r>
      <w:r w:rsidR="006178F0">
        <w:rPr>
          <w:rFonts w:ascii="Times New Roman" w:hAnsi="Times New Roman" w:cs="Times New Roman"/>
        </w:rPr>
        <w:t>azaldığı ve 65,3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 </w:t>
      </w:r>
      <w:r w:rsidR="006178F0">
        <w:rPr>
          <w:rFonts w:ascii="Times New Roman" w:hAnsi="Times New Roman" w:cs="Times New Roman"/>
        </w:rPr>
        <w:t>Mart 2015’te 101,1</w:t>
      </w:r>
      <w:r>
        <w:rPr>
          <w:rFonts w:ascii="Times New Roman" w:hAnsi="Times New Roman" w:cs="Times New Roman"/>
        </w:rPr>
        <w:t xml:space="preserve"> puan iken, </w:t>
      </w:r>
      <w:r w:rsidR="006178F0">
        <w:rPr>
          <w:rFonts w:ascii="Times New Roman" w:hAnsi="Times New Roman" w:cs="Times New Roman"/>
        </w:rPr>
        <w:t>Nisan 2015’te yüzde 4</w:t>
      </w:r>
      <w:r>
        <w:rPr>
          <w:rFonts w:ascii="Times New Roman" w:hAnsi="Times New Roman" w:cs="Times New Roman"/>
        </w:rPr>
        <w:t xml:space="preserve"> oranında </w:t>
      </w:r>
      <w:r w:rsidR="006178F0">
        <w:rPr>
          <w:rFonts w:ascii="Times New Roman" w:hAnsi="Times New Roman" w:cs="Times New Roman"/>
        </w:rPr>
        <w:t>azalarak 97</w:t>
      </w:r>
      <w:r>
        <w:rPr>
          <w:rFonts w:ascii="Times New Roman" w:hAnsi="Times New Roman" w:cs="Times New Roman"/>
        </w:rPr>
        <w:t xml:space="preserve"> puan olmuştur. </w:t>
      </w:r>
    </w:p>
    <w:p w:rsidR="00415908" w:rsidRDefault="00415908" w:rsidP="00415908">
      <w:pPr>
        <w:pStyle w:val="ResimYazs"/>
        <w:keepNext/>
      </w:pPr>
      <w:r>
        <w:t xml:space="preserve">Tablo </w:t>
      </w:r>
      <w:fldSimple w:instr=" SEQ Tablo \* ARABIC ">
        <w:r>
          <w:rPr>
            <w:noProof/>
          </w:rPr>
          <w:t>1</w:t>
        </w:r>
      </w:fldSimple>
      <w:r w:rsidR="00F5267F">
        <w:t>: İnşaat Sektörü Güven Endeksi B</w:t>
      </w:r>
      <w:r>
        <w:t>ileşenleri (</w:t>
      </w:r>
      <w:r w:rsidR="00550581">
        <w:t>Mart</w:t>
      </w:r>
      <w:r>
        <w:t>-</w:t>
      </w:r>
      <w:r w:rsidR="00550581">
        <w:t>Nisan</w:t>
      </w:r>
      <w:r w:rsidR="00B81204">
        <w:t xml:space="preserve"> 2015</w:t>
      </w:r>
      <w: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DC3CEB" w:rsidRPr="00415908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415908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noWrap/>
            <w:hideMark/>
          </w:tcPr>
          <w:p w:rsidR="00DC3CEB" w:rsidRPr="00415908" w:rsidRDefault="00550581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Mar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931BB6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DC3CEB" w:rsidRPr="00415908" w:rsidRDefault="00550581" w:rsidP="00BE1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Nis</w:t>
            </w:r>
            <w:r w:rsidR="00931BB6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BE14F5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</w:tr>
      <w:tr w:rsidR="00DC3CEB" w:rsidRPr="00DC3CEB" w:rsidTr="00DC3CEB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415908" w:rsidP="006F2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550581">
              <w:rPr>
                <w:rFonts w:ascii="Calibri" w:eastAsia="Times New Roman" w:hAnsi="Calibri" w:cs="Times New Roman"/>
                <w:color w:val="000000"/>
              </w:rPr>
              <w:t>3,4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415908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550581">
              <w:rPr>
                <w:rFonts w:ascii="Calibri" w:eastAsia="Times New Roman" w:hAnsi="Calibri" w:cs="Times New Roman"/>
                <w:color w:val="000000"/>
              </w:rPr>
              <w:t>1,2</w:t>
            </w:r>
          </w:p>
        </w:tc>
      </w:tr>
      <w:tr w:rsidR="00DC3CEB" w:rsidRPr="00DC3CEB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Alınan Kayıtlı Siparişlerin mevcut düzeyi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DC3CEB" w:rsidP="006F2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550581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B81204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55058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931BB6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</w:t>
            </w:r>
            <w:r w:rsidR="00DC3CEB" w:rsidRPr="00DC3CE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55058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C3CEB" w:rsidRPr="00DC3CEB" w:rsidTr="00DC3CEB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lastRenderedPageBreak/>
              <w:t>Toplam çalışan sayısı beklentisi (gelecek 3 aylık dönemde)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550581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101,1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550581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</w:tr>
    </w:tbl>
    <w:p w:rsidR="00DC3CEB" w:rsidRDefault="00DC3CEB" w:rsidP="00F2387A">
      <w:pPr>
        <w:rPr>
          <w:rFonts w:ascii="Times New Roman" w:hAnsi="Times New Roman" w:cs="Times New Roman"/>
        </w:rPr>
      </w:pPr>
    </w:p>
    <w:p w:rsidR="00E12C81" w:rsidRDefault="00E12C81" w:rsidP="00472839">
      <w:pPr>
        <w:pStyle w:val="Balk2"/>
      </w:pPr>
      <w:r w:rsidRPr="002B5EAF">
        <w:t>Hizmet sektörü güven endeksi</w:t>
      </w:r>
    </w:p>
    <w:p w:rsidR="00415908" w:rsidRDefault="00EE3747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415908" w:rsidRPr="002B5EAF">
        <w:rPr>
          <w:rFonts w:ascii="Times New Roman" w:hAnsi="Times New Roman" w:cs="Times New Roman"/>
        </w:rPr>
        <w:t xml:space="preserve"> </w:t>
      </w:r>
      <w:r w:rsidR="005132FC">
        <w:rPr>
          <w:rFonts w:ascii="Times New Roman" w:hAnsi="Times New Roman" w:cs="Times New Roman"/>
        </w:rPr>
        <w:t>Nisan</w:t>
      </w:r>
      <w:r w:rsidR="00415908" w:rsidRPr="002B5EAF">
        <w:rPr>
          <w:rFonts w:ascii="Times New Roman" w:hAnsi="Times New Roman" w:cs="Times New Roman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2014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5132FC">
        <w:rPr>
          <w:rFonts w:ascii="Times New Roman" w:hAnsi="Times New Roman" w:cs="Times New Roman"/>
        </w:rPr>
        <w:t>Nisan</w:t>
      </w:r>
      <w:r w:rsidR="005365D4">
        <w:rPr>
          <w:rFonts w:ascii="Times New Roman" w:hAnsi="Times New Roman" w:cs="Times New Roman"/>
        </w:rPr>
        <w:t xml:space="preserve"> ayına göre yüzde 1</w:t>
      </w:r>
      <w:r w:rsidR="00D30BE9">
        <w:rPr>
          <w:rFonts w:ascii="Times New Roman" w:hAnsi="Times New Roman" w:cs="Times New Roman"/>
        </w:rPr>
        <w:t>,4</w:t>
      </w:r>
      <w:r w:rsidR="00BB0798">
        <w:rPr>
          <w:rFonts w:ascii="Times New Roman" w:hAnsi="Times New Roman" w:cs="Times New Roman"/>
        </w:rPr>
        <w:t xml:space="preserve"> oranında </w:t>
      </w:r>
      <w:r w:rsidR="00A332D6">
        <w:rPr>
          <w:rFonts w:ascii="Times New Roman" w:hAnsi="Times New Roman" w:cs="Times New Roman"/>
        </w:rPr>
        <w:t>artış</w:t>
      </w:r>
      <w:r w:rsidR="00BB0798">
        <w:rPr>
          <w:rFonts w:ascii="Times New Roman" w:hAnsi="Times New Roman" w:cs="Times New Roman"/>
        </w:rPr>
        <w:t xml:space="preserve"> gösterdiği</w:t>
      </w:r>
      <w:r w:rsidR="005132FC">
        <w:rPr>
          <w:rFonts w:ascii="Times New Roman" w:hAnsi="Times New Roman" w:cs="Times New Roman"/>
        </w:rPr>
        <w:t xml:space="preserve"> (1,4 puan) ve 100,5</w:t>
      </w:r>
      <w:r w:rsidR="00415908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A332D6">
        <w:rPr>
          <w:rFonts w:ascii="Times New Roman" w:hAnsi="Times New Roman" w:cs="Times New Roman"/>
        </w:rPr>
        <w:t>yükseldiği</w:t>
      </w:r>
      <w:r w:rsidR="00415908" w:rsidRPr="002B5EAF">
        <w:rPr>
          <w:rFonts w:ascii="Times New Roman" w:hAnsi="Times New Roman" w:cs="Times New Roman"/>
        </w:rPr>
        <w:t xml:space="preserve"> göze çarpmaktadır.</w:t>
      </w:r>
      <w:r w:rsidR="00DB0FFC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201</w:t>
      </w:r>
      <w:r w:rsidR="00A332D6">
        <w:rPr>
          <w:rFonts w:ascii="Times New Roman" w:hAnsi="Times New Roman" w:cs="Times New Roman"/>
        </w:rPr>
        <w:t>5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5132FC">
        <w:rPr>
          <w:rFonts w:ascii="Times New Roman" w:hAnsi="Times New Roman" w:cs="Times New Roman"/>
        </w:rPr>
        <w:t>Mart</w:t>
      </w:r>
      <w:r w:rsidR="00415908" w:rsidRPr="002B5EAF">
        <w:rPr>
          <w:rFonts w:ascii="Times New Roman" w:hAnsi="Times New Roman" w:cs="Times New Roman"/>
        </w:rPr>
        <w:t xml:space="preserve"> </w:t>
      </w:r>
      <w:r w:rsidR="005132FC">
        <w:rPr>
          <w:rFonts w:ascii="Times New Roman" w:hAnsi="Times New Roman" w:cs="Times New Roman"/>
        </w:rPr>
        <w:t>ayına göre bakıldığında ise 0,5</w:t>
      </w:r>
      <w:r w:rsidR="00415908" w:rsidRPr="002B5EAF">
        <w:rPr>
          <w:rFonts w:ascii="Times New Roman" w:hAnsi="Times New Roman" w:cs="Times New Roman"/>
        </w:rPr>
        <w:t xml:space="preserve"> oranında </w:t>
      </w:r>
      <w:r w:rsidR="005132FC">
        <w:rPr>
          <w:rFonts w:ascii="Times New Roman" w:hAnsi="Times New Roman" w:cs="Times New Roman"/>
        </w:rPr>
        <w:t>azaldığı (0,5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  <w:bookmarkStart w:id="0" w:name="_GoBack"/>
      <w:bookmarkEnd w:id="0"/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2015</w:t>
      </w:r>
      <w:r w:rsidRPr="002B5EAF">
        <w:rPr>
          <w:rFonts w:ascii="Times New Roman" w:hAnsi="Times New Roman" w:cs="Times New Roman"/>
        </w:rPr>
        <w:t xml:space="preserve"> yılının </w:t>
      </w:r>
      <w:r w:rsidR="005132FC">
        <w:rPr>
          <w:rFonts w:ascii="Times New Roman" w:hAnsi="Times New Roman" w:cs="Times New Roman"/>
        </w:rPr>
        <w:t>Mart ayına göre yüzde 5</w:t>
      </w:r>
      <w:r w:rsidRPr="002B5EAF">
        <w:rPr>
          <w:rFonts w:ascii="Times New Roman" w:hAnsi="Times New Roman" w:cs="Times New Roman"/>
        </w:rPr>
        <w:t xml:space="preserve"> oranında </w:t>
      </w:r>
      <w:r w:rsidR="00EE3747">
        <w:rPr>
          <w:rFonts w:ascii="Times New Roman" w:hAnsi="Times New Roman" w:cs="Times New Roman"/>
        </w:rPr>
        <w:t>artarak</w:t>
      </w:r>
      <w:r w:rsidR="00DB0FFC">
        <w:rPr>
          <w:rFonts w:ascii="Times New Roman" w:hAnsi="Times New Roman" w:cs="Times New Roman"/>
        </w:rPr>
        <w:t xml:space="preserve"> (</w:t>
      </w:r>
      <w:r w:rsidR="005132FC">
        <w:rPr>
          <w:rFonts w:ascii="Times New Roman" w:hAnsi="Times New Roman" w:cs="Times New Roman"/>
        </w:rPr>
        <w:t>5</w:t>
      </w:r>
      <w:r w:rsidR="00BB0798">
        <w:rPr>
          <w:rFonts w:ascii="Times New Roman" w:hAnsi="Times New Roman" w:cs="Times New Roman"/>
        </w:rPr>
        <w:t xml:space="preserve"> p</w:t>
      </w:r>
      <w:r w:rsidR="00EE3747">
        <w:rPr>
          <w:rFonts w:ascii="Times New Roman" w:hAnsi="Times New Roman" w:cs="Times New Roman"/>
        </w:rPr>
        <w:t>u</w:t>
      </w:r>
      <w:r w:rsidR="005132FC">
        <w:rPr>
          <w:rFonts w:ascii="Times New Roman" w:hAnsi="Times New Roman" w:cs="Times New Roman"/>
        </w:rPr>
        <w:t>an) 105</w:t>
      </w:r>
      <w:r w:rsidR="005365D4">
        <w:rPr>
          <w:rFonts w:ascii="Times New Roman" w:hAnsi="Times New Roman" w:cs="Times New Roman"/>
        </w:rPr>
        <w:t>,6</w:t>
      </w:r>
      <w:r w:rsidR="00415908">
        <w:rPr>
          <w:rFonts w:ascii="Times New Roman" w:hAnsi="Times New Roman" w:cs="Times New Roman"/>
        </w:rPr>
        <w:t xml:space="preserve"> olurken, </w:t>
      </w:r>
      <w:r w:rsidR="00EE3747">
        <w:rPr>
          <w:rFonts w:ascii="Times New Roman" w:hAnsi="Times New Roman" w:cs="Times New Roman"/>
        </w:rPr>
        <w:t>2014</w:t>
      </w:r>
      <w:r w:rsidRPr="002B5EAF">
        <w:rPr>
          <w:rFonts w:ascii="Times New Roman" w:hAnsi="Times New Roman" w:cs="Times New Roman"/>
        </w:rPr>
        <w:t xml:space="preserve"> yılı </w:t>
      </w:r>
      <w:r w:rsidR="005132FC">
        <w:rPr>
          <w:rFonts w:ascii="Times New Roman" w:hAnsi="Times New Roman" w:cs="Times New Roman"/>
        </w:rPr>
        <w:t>Nisan</w:t>
      </w:r>
      <w:r w:rsidRPr="002B5EAF">
        <w:rPr>
          <w:rFonts w:ascii="Times New Roman" w:hAnsi="Times New Roman" w:cs="Times New Roman"/>
        </w:rPr>
        <w:t xml:space="preserve"> ayı</w:t>
      </w:r>
      <w:r w:rsidR="00DB0FFC">
        <w:rPr>
          <w:rFonts w:ascii="Times New Roman" w:hAnsi="Times New Roman" w:cs="Times New Roman"/>
        </w:rPr>
        <w:t>na göre</w:t>
      </w:r>
      <w:r w:rsidR="00EE3747">
        <w:rPr>
          <w:rFonts w:ascii="Times New Roman" w:hAnsi="Times New Roman" w:cs="Times New Roman"/>
        </w:rPr>
        <w:t xml:space="preserve"> </w:t>
      </w:r>
      <w:r w:rsidR="005132FC">
        <w:rPr>
          <w:rFonts w:ascii="Times New Roman" w:hAnsi="Times New Roman" w:cs="Times New Roman"/>
        </w:rPr>
        <w:t>1,4</w:t>
      </w:r>
      <w:r w:rsidR="00415908">
        <w:rPr>
          <w:rFonts w:ascii="Times New Roman" w:hAnsi="Times New Roman" w:cs="Times New Roman"/>
        </w:rPr>
        <w:t xml:space="preserve"> oranında </w:t>
      </w:r>
      <w:r w:rsidR="00415908" w:rsidRPr="002B5EAF">
        <w:rPr>
          <w:rFonts w:ascii="Times New Roman" w:hAnsi="Times New Roman" w:cs="Times New Roman"/>
        </w:rPr>
        <w:t>(</w:t>
      </w:r>
      <w:r w:rsidR="00A332D6">
        <w:rPr>
          <w:rFonts w:ascii="Times New Roman" w:hAnsi="Times New Roman" w:cs="Times New Roman"/>
        </w:rPr>
        <w:t>1</w:t>
      </w:r>
      <w:r w:rsidR="005365D4">
        <w:rPr>
          <w:rFonts w:ascii="Times New Roman" w:hAnsi="Times New Roman" w:cs="Times New Roman"/>
        </w:rPr>
        <w:t>,5</w:t>
      </w:r>
      <w:r w:rsidR="00415908" w:rsidRPr="002B5EAF">
        <w:rPr>
          <w:rFonts w:ascii="Times New Roman" w:hAnsi="Times New Roman" w:cs="Times New Roman"/>
        </w:rPr>
        <w:t xml:space="preserve"> puan)</w:t>
      </w:r>
      <w:r w:rsidR="00415908">
        <w:rPr>
          <w:rFonts w:ascii="Times New Roman" w:hAnsi="Times New Roman" w:cs="Times New Roman"/>
        </w:rPr>
        <w:t xml:space="preserve"> </w:t>
      </w:r>
      <w:r w:rsidR="00A332D6">
        <w:rPr>
          <w:rFonts w:ascii="Times New Roman" w:hAnsi="Times New Roman" w:cs="Times New Roman"/>
        </w:rPr>
        <w:t>artmıştır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C03934">
        <w:rPr>
          <w:rFonts w:ascii="Times New Roman" w:hAnsi="Times New Roman" w:cs="Times New Roman"/>
          <w:sz w:val="22"/>
          <w:szCs w:val="22"/>
        </w:rPr>
        <w:t>Nisan</w:t>
      </w:r>
      <w:r w:rsidR="00BB3B61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C03934">
        <w:rPr>
          <w:rFonts w:ascii="Times New Roman" w:hAnsi="Times New Roman" w:cs="Times New Roman"/>
          <w:sz w:val="22"/>
          <w:szCs w:val="22"/>
        </w:rPr>
        <w:t>Nisan</w:t>
      </w:r>
      <w:r w:rsidR="00BB3B61">
        <w:rPr>
          <w:rFonts w:ascii="Times New Roman" w:hAnsi="Times New Roman" w:cs="Times New Roman"/>
          <w:sz w:val="22"/>
          <w:szCs w:val="22"/>
        </w:rPr>
        <w:t>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374EB7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C358E80" wp14:editId="76345F47">
            <wp:extent cx="5899868" cy="2743200"/>
            <wp:effectExtent l="0" t="0" r="24765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 etkilerinden arındırılmış hizmet sektörü güven endeksinin oluştuğu alt kalemler incelendiğinde (Tablo 2), </w:t>
      </w:r>
      <w:r w:rsidR="00A17C8D">
        <w:rPr>
          <w:rFonts w:ascii="Times New Roman" w:hAnsi="Times New Roman" w:cs="Times New Roman"/>
        </w:rPr>
        <w:t>Mart</w:t>
      </w:r>
      <w:r w:rsidR="00B81743">
        <w:rPr>
          <w:rFonts w:ascii="Times New Roman" w:hAnsi="Times New Roman" w:cs="Times New Roman"/>
        </w:rPr>
        <w:t xml:space="preserve"> 2015</w:t>
      </w:r>
      <w:r w:rsidR="008F037C">
        <w:rPr>
          <w:rFonts w:ascii="Times New Roman" w:hAnsi="Times New Roman" w:cs="Times New Roman"/>
        </w:rPr>
        <w:t>’te 9</w:t>
      </w:r>
      <w:r w:rsidR="00A17C8D">
        <w:rPr>
          <w:rFonts w:ascii="Times New Roman" w:hAnsi="Times New Roman" w:cs="Times New Roman"/>
        </w:rPr>
        <w:t>6,2</w:t>
      </w:r>
      <w:r>
        <w:rPr>
          <w:rFonts w:ascii="Times New Roman" w:hAnsi="Times New Roman" w:cs="Times New Roman"/>
        </w:rPr>
        <w:t xml:space="preserve"> puan olan iş durumunun, </w:t>
      </w:r>
      <w:r w:rsidR="00EE168A">
        <w:rPr>
          <w:rFonts w:ascii="Times New Roman" w:hAnsi="Times New Roman" w:cs="Times New Roman"/>
        </w:rPr>
        <w:t>Mart</w:t>
      </w:r>
      <w:r>
        <w:rPr>
          <w:rFonts w:ascii="Times New Roman" w:hAnsi="Times New Roman" w:cs="Times New Roman"/>
        </w:rPr>
        <w:t xml:space="preserve"> a</w:t>
      </w:r>
      <w:r w:rsidR="00A17C8D">
        <w:rPr>
          <w:rFonts w:ascii="Times New Roman" w:hAnsi="Times New Roman" w:cs="Times New Roman"/>
        </w:rPr>
        <w:t>yında yüzde 0,3</w:t>
      </w:r>
      <w:r w:rsidR="00EE168A">
        <w:rPr>
          <w:rFonts w:ascii="Times New Roman" w:hAnsi="Times New Roman" w:cs="Times New Roman"/>
        </w:rPr>
        <w:t xml:space="preserve"> oranında (</w:t>
      </w:r>
      <w:r w:rsidR="00A17C8D">
        <w:rPr>
          <w:rFonts w:ascii="Times New Roman" w:hAnsi="Times New Roman" w:cs="Times New Roman"/>
        </w:rPr>
        <w:t>0,</w:t>
      </w:r>
      <w:r w:rsidR="00EE168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puan) </w:t>
      </w:r>
      <w:r w:rsidR="00A17C8D">
        <w:rPr>
          <w:rFonts w:ascii="Times New Roman" w:hAnsi="Times New Roman" w:cs="Times New Roman"/>
        </w:rPr>
        <w:t>azalarak 95,9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</w:rPr>
        <w:t xml:space="preserve"> </w:t>
      </w:r>
      <w:r w:rsidR="00A17C8D">
        <w:rPr>
          <w:rFonts w:ascii="Times New Roman" w:hAnsi="Times New Roman" w:cs="Times New Roman"/>
        </w:rPr>
        <w:t>Nisan</w:t>
      </w:r>
      <w:r w:rsidR="003C0AB3">
        <w:rPr>
          <w:rFonts w:ascii="Times New Roman" w:hAnsi="Times New Roman" w:cs="Times New Roman"/>
        </w:rPr>
        <w:t xml:space="preserve"> 2015’te bir önceki aya göre</w:t>
      </w:r>
      <w:r w:rsidR="00A17C8D">
        <w:rPr>
          <w:rFonts w:ascii="Times New Roman" w:hAnsi="Times New Roman" w:cs="Times New Roman"/>
        </w:rPr>
        <w:t xml:space="preserve"> 0,8</w:t>
      </w:r>
      <w:r>
        <w:rPr>
          <w:rFonts w:ascii="Times New Roman" w:hAnsi="Times New Roman" w:cs="Times New Roman"/>
        </w:rPr>
        <w:t xml:space="preserve"> puan </w:t>
      </w:r>
      <w:r w:rsidR="00EE168A">
        <w:rPr>
          <w:rFonts w:ascii="Times New Roman" w:hAnsi="Times New Roman" w:cs="Times New Roman"/>
        </w:rPr>
        <w:t>azalmış</w:t>
      </w:r>
      <w:r>
        <w:rPr>
          <w:rFonts w:ascii="Times New Roman" w:hAnsi="Times New Roman" w:cs="Times New Roman"/>
        </w:rPr>
        <w:t xml:space="preserve"> ve </w:t>
      </w:r>
      <w:r w:rsidR="00A17C8D">
        <w:rPr>
          <w:rFonts w:ascii="Times New Roman" w:hAnsi="Times New Roman" w:cs="Times New Roman"/>
        </w:rPr>
        <w:t>94,2</w:t>
      </w:r>
      <w:r w:rsidR="008F037C">
        <w:rPr>
          <w:rFonts w:ascii="Times New Roman" w:hAnsi="Times New Roman" w:cs="Times New Roman"/>
        </w:rPr>
        <w:t xml:space="preserve"> puan olmuştur</w:t>
      </w:r>
      <w:r>
        <w:rPr>
          <w:rFonts w:ascii="Times New Roman" w:hAnsi="Times New Roman" w:cs="Times New Roman"/>
        </w:rPr>
        <w:t xml:space="preserve">. </w:t>
      </w:r>
      <w:r w:rsidR="00A17C8D">
        <w:rPr>
          <w:rFonts w:ascii="Times New Roman" w:hAnsi="Times New Roman" w:cs="Times New Roman"/>
        </w:rPr>
        <w:t>Mart</w:t>
      </w:r>
      <w:r w:rsidR="003C0AB3">
        <w:rPr>
          <w:rFonts w:ascii="Times New Roman" w:hAnsi="Times New Roman" w:cs="Times New Roman"/>
        </w:rPr>
        <w:t xml:space="preserve"> 2015</w:t>
      </w:r>
      <w:r w:rsidR="0067222E">
        <w:rPr>
          <w:rFonts w:ascii="Times New Roman" w:hAnsi="Times New Roman" w:cs="Times New Roman"/>
        </w:rPr>
        <w:t>’te 111</w:t>
      </w:r>
      <w:r w:rsidR="00A17C8D">
        <w:rPr>
          <w:rFonts w:ascii="Times New Roman" w:hAnsi="Times New Roman" w:cs="Times New Roman"/>
        </w:rPr>
        <w:t>,8</w:t>
      </w:r>
      <w:r>
        <w:rPr>
          <w:rFonts w:ascii="Times New Roman" w:hAnsi="Times New Roman" w:cs="Times New Roman"/>
        </w:rPr>
        <w:t xml:space="preserve"> puan olan gelecek 3 aylık dönem için hizmetlere olan talep beklentisi ise, </w:t>
      </w:r>
      <w:r w:rsidR="00A17C8D">
        <w:rPr>
          <w:rFonts w:ascii="Times New Roman" w:hAnsi="Times New Roman" w:cs="Times New Roman"/>
        </w:rPr>
        <w:t>Nisan</w:t>
      </w:r>
      <w:r w:rsidR="0067222E">
        <w:rPr>
          <w:rFonts w:ascii="Times New Roman" w:hAnsi="Times New Roman" w:cs="Times New Roman"/>
        </w:rPr>
        <w:t xml:space="preserve"> 2015’te yüzde 0,</w:t>
      </w:r>
      <w:r w:rsidR="00A17C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oranında </w:t>
      </w:r>
      <w:r w:rsidR="003C0AB3">
        <w:rPr>
          <w:rFonts w:ascii="Times New Roman" w:hAnsi="Times New Roman" w:cs="Times New Roman"/>
        </w:rPr>
        <w:t>azalmış</w:t>
      </w:r>
      <w:r w:rsidR="0067222E">
        <w:rPr>
          <w:rFonts w:ascii="Times New Roman" w:hAnsi="Times New Roman" w:cs="Times New Roman"/>
        </w:rPr>
        <w:t xml:space="preserve"> ve</w:t>
      </w:r>
      <w:r w:rsidR="00A17C8D">
        <w:rPr>
          <w:rFonts w:ascii="Times New Roman" w:hAnsi="Times New Roman" w:cs="Times New Roman"/>
        </w:rPr>
        <w:t xml:space="preserve"> 111,4</w:t>
      </w:r>
      <w:r w:rsidR="003C0AB3">
        <w:rPr>
          <w:rFonts w:ascii="Times New Roman" w:hAnsi="Times New Roman" w:cs="Times New Roman"/>
        </w:rPr>
        <w:t xml:space="preserve"> olmuştur</w:t>
      </w:r>
      <w:r>
        <w:rPr>
          <w:rFonts w:ascii="Times New Roman" w:hAnsi="Times New Roman" w:cs="Times New Roman"/>
        </w:rPr>
        <w:t xml:space="preserve">. </w:t>
      </w:r>
    </w:p>
    <w:p w:rsidR="00415908" w:rsidRDefault="00415908" w:rsidP="00415908">
      <w:pPr>
        <w:pStyle w:val="ResimYazs"/>
        <w:keepNext/>
      </w:pPr>
      <w:r>
        <w:t xml:space="preserve">Tablo </w:t>
      </w:r>
      <w:fldSimple w:instr=" SEQ Tablo \* ARABIC ">
        <w:r>
          <w:rPr>
            <w:noProof/>
          </w:rPr>
          <w:t>2</w:t>
        </w:r>
      </w:fldSimple>
      <w:r>
        <w:t>: Hizmet sektörü güven endeksi alt bileşenleri (</w:t>
      </w:r>
      <w:r w:rsidR="004C3B97">
        <w:t>Mart</w:t>
      </w:r>
      <w:r>
        <w:t>-</w:t>
      </w:r>
      <w:r w:rsidR="004C3B97">
        <w:t>Nisan</w:t>
      </w:r>
      <w:r w:rsidR="0067222E">
        <w:t xml:space="preserve"> 2015</w:t>
      </w:r>
      <w: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F73F8D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noWrap/>
            <w:hideMark/>
          </w:tcPr>
          <w:p w:rsidR="00F73F8D" w:rsidRPr="00415908" w:rsidRDefault="004C3B97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Mar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0165C7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358" w:type="dxa"/>
            <w:noWrap/>
            <w:hideMark/>
          </w:tcPr>
          <w:p w:rsidR="00F73F8D" w:rsidRPr="00415908" w:rsidRDefault="004C3B97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Nis</w:t>
            </w:r>
            <w:r w:rsidR="00F73F8D" w:rsidRPr="00415908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</w:tr>
      <w:tr w:rsidR="005131B0" w:rsidRPr="00F73F8D" w:rsidTr="00F73F8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AD0348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4C3B9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4C3B97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="008F037C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5131B0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BB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4C3B97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4C3B9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4C3B97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</w:t>
            </w:r>
            <w:r w:rsidR="005131B0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5131B0" w:rsidRPr="00F73F8D" w:rsidTr="00F73F8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(son 3 aylık dönemde</w:t>
            </w:r>
            <w:r w:rsidR="00BB3B61">
              <w:rPr>
                <w:rFonts w:ascii="Calibri" w:eastAsia="Times New Roman" w:hAnsi="Calibri" w:cs="Times New Roman"/>
                <w:b w:val="0"/>
                <w:color w:val="000000"/>
              </w:rPr>
              <w:t>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0165C7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4C3B9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58" w:type="dxa"/>
            <w:noWrap/>
            <w:hideMark/>
          </w:tcPr>
          <w:p w:rsidR="000165C7" w:rsidRPr="00F73F8D" w:rsidRDefault="004C3B97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131B0" w:rsidRPr="00F73F8D" w:rsidTr="00415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11,</w:t>
            </w:r>
            <w:r w:rsidR="004C3B9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282CEF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1,</w:t>
            </w:r>
            <w:r w:rsidR="004C3B9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F0"/>
    <w:rsid w:val="00001939"/>
    <w:rsid w:val="000165C7"/>
    <w:rsid w:val="00041E14"/>
    <w:rsid w:val="001026C6"/>
    <w:rsid w:val="00107F1F"/>
    <w:rsid w:val="0011679B"/>
    <w:rsid w:val="00161E0D"/>
    <w:rsid w:val="001B4B87"/>
    <w:rsid w:val="001F45C1"/>
    <w:rsid w:val="002005BA"/>
    <w:rsid w:val="00226F56"/>
    <w:rsid w:val="00264FA3"/>
    <w:rsid w:val="00282CEF"/>
    <w:rsid w:val="002B5EAF"/>
    <w:rsid w:val="002C176D"/>
    <w:rsid w:val="002D467F"/>
    <w:rsid w:val="0037286A"/>
    <w:rsid w:val="00374EB7"/>
    <w:rsid w:val="00376705"/>
    <w:rsid w:val="003A4DE8"/>
    <w:rsid w:val="003A4E9E"/>
    <w:rsid w:val="003C0AB3"/>
    <w:rsid w:val="003E7ABA"/>
    <w:rsid w:val="00414D32"/>
    <w:rsid w:val="00415908"/>
    <w:rsid w:val="0045208A"/>
    <w:rsid w:val="00472839"/>
    <w:rsid w:val="004A15F5"/>
    <w:rsid w:val="004C3B97"/>
    <w:rsid w:val="004F0E94"/>
    <w:rsid w:val="005131B0"/>
    <w:rsid w:val="005132FC"/>
    <w:rsid w:val="005365D4"/>
    <w:rsid w:val="00550581"/>
    <w:rsid w:val="005D1EB3"/>
    <w:rsid w:val="006178F0"/>
    <w:rsid w:val="0067222E"/>
    <w:rsid w:val="006D6C3C"/>
    <w:rsid w:val="006F23D8"/>
    <w:rsid w:val="00735C81"/>
    <w:rsid w:val="00746DDE"/>
    <w:rsid w:val="007A61BB"/>
    <w:rsid w:val="007B5C52"/>
    <w:rsid w:val="008071E5"/>
    <w:rsid w:val="008212B1"/>
    <w:rsid w:val="008A3853"/>
    <w:rsid w:val="008B29F9"/>
    <w:rsid w:val="008C3A4E"/>
    <w:rsid w:val="008F037C"/>
    <w:rsid w:val="008F6EF4"/>
    <w:rsid w:val="00931BB6"/>
    <w:rsid w:val="00960957"/>
    <w:rsid w:val="00981E48"/>
    <w:rsid w:val="009C7E77"/>
    <w:rsid w:val="00A00243"/>
    <w:rsid w:val="00A17C8D"/>
    <w:rsid w:val="00A2299A"/>
    <w:rsid w:val="00A270E3"/>
    <w:rsid w:val="00A332D6"/>
    <w:rsid w:val="00AD0348"/>
    <w:rsid w:val="00AD6B7D"/>
    <w:rsid w:val="00AE146A"/>
    <w:rsid w:val="00B050DB"/>
    <w:rsid w:val="00B22A6C"/>
    <w:rsid w:val="00B81204"/>
    <w:rsid w:val="00B81743"/>
    <w:rsid w:val="00BA0AF0"/>
    <w:rsid w:val="00BB0798"/>
    <w:rsid w:val="00BB3B61"/>
    <w:rsid w:val="00BE14F5"/>
    <w:rsid w:val="00C0378F"/>
    <w:rsid w:val="00C03934"/>
    <w:rsid w:val="00C04185"/>
    <w:rsid w:val="00C51B65"/>
    <w:rsid w:val="00CA5ACC"/>
    <w:rsid w:val="00CC05F5"/>
    <w:rsid w:val="00CE566F"/>
    <w:rsid w:val="00D11DC0"/>
    <w:rsid w:val="00D30BE9"/>
    <w:rsid w:val="00D41704"/>
    <w:rsid w:val="00DB0FFC"/>
    <w:rsid w:val="00DC3CEB"/>
    <w:rsid w:val="00DF240C"/>
    <w:rsid w:val="00E12C81"/>
    <w:rsid w:val="00E14F76"/>
    <w:rsid w:val="00E22179"/>
    <w:rsid w:val="00E326F7"/>
    <w:rsid w:val="00EA5332"/>
    <w:rsid w:val="00EB0C4D"/>
    <w:rsid w:val="00EB68C0"/>
    <w:rsid w:val="00EE168A"/>
    <w:rsid w:val="00EE3747"/>
    <w:rsid w:val="00F2387A"/>
    <w:rsid w:val="00F5267F"/>
    <w:rsid w:val="00F66CF6"/>
    <w:rsid w:val="00F73F8D"/>
    <w:rsid w:val="00F91EC1"/>
    <w:rsid w:val="00FB149D"/>
    <w:rsid w:val="00FB558C"/>
    <w:rsid w:val="00FD12B2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4677491368213212698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-1545591305280672807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348344279814136E-2"/>
          <c:y val="5.1400554097404488E-2"/>
          <c:w val="0.67933699753613952"/>
          <c:h val="0.74778142315543894"/>
        </c:manualLayout>
      </c:layout>
      <c:lineChart>
        <c:grouping val="standard"/>
        <c:varyColors val="0"/>
        <c:ser>
          <c:idx val="0"/>
          <c:order val="0"/>
          <c:tx>
            <c:strRef>
              <c:f>'[4677491368213212698..xls]Sayfa1'!$B$5</c:f>
              <c:strCache>
                <c:ptCount val="1"/>
                <c:pt idx="0">
                  <c:v>Mevsim Etkilerinden Arındırılmış İnşaat Sektörü Güven Endeksi</c:v>
                </c:pt>
              </c:strCache>
            </c:strRef>
          </c:tx>
          <c:marker>
            <c:symbol val="none"/>
          </c:marker>
          <c:cat>
            <c:numRef>
              <c:f>'[4677491368213212698..xls]Sayfa1'!$C$4:$O$4</c:f>
              <c:numCache>
                <c:formatCode>mmm\-yy</c:formatCode>
                <c:ptCount val="13"/>
                <c:pt idx="0">
                  <c:v>41730</c:v>
                </c:pt>
                <c:pt idx="1">
                  <c:v>41760</c:v>
                </c:pt>
                <c:pt idx="2">
                  <c:v>41791</c:v>
                </c:pt>
                <c:pt idx="3">
                  <c:v>41821</c:v>
                </c:pt>
                <c:pt idx="4">
                  <c:v>41852</c:v>
                </c:pt>
                <c:pt idx="5">
                  <c:v>41883</c:v>
                </c:pt>
                <c:pt idx="6">
                  <c:v>41913</c:v>
                </c:pt>
                <c:pt idx="7">
                  <c:v>41944</c:v>
                </c:pt>
                <c:pt idx="8">
                  <c:v>41974</c:v>
                </c:pt>
                <c:pt idx="9">
                  <c:v>42005</c:v>
                </c:pt>
                <c:pt idx="10">
                  <c:v>42036</c:v>
                </c:pt>
                <c:pt idx="11">
                  <c:v>42064</c:v>
                </c:pt>
                <c:pt idx="12">
                  <c:v>42095</c:v>
                </c:pt>
              </c:numCache>
            </c:numRef>
          </c:cat>
          <c:val>
            <c:numRef>
              <c:f>'[4677491368213212698..xls]Sayfa1'!$C$5:$O$5</c:f>
              <c:numCache>
                <c:formatCode>0.0</c:formatCode>
                <c:ptCount val="13"/>
                <c:pt idx="0">
                  <c:v>79.037497954218651</c:v>
                </c:pt>
                <c:pt idx="1">
                  <c:v>79.88229945088591</c:v>
                </c:pt>
                <c:pt idx="2">
                  <c:v>80.504704496686259</c:v>
                </c:pt>
                <c:pt idx="3">
                  <c:v>79.225707176770797</c:v>
                </c:pt>
                <c:pt idx="4">
                  <c:v>82.631908036773055</c:v>
                </c:pt>
                <c:pt idx="5">
                  <c:v>83.84858641534251</c:v>
                </c:pt>
                <c:pt idx="6">
                  <c:v>81.791283611831545</c:v>
                </c:pt>
                <c:pt idx="7">
                  <c:v>83.02940819463015</c:v>
                </c:pt>
                <c:pt idx="8">
                  <c:v>83.3065157557064</c:v>
                </c:pt>
                <c:pt idx="9">
                  <c:v>82.458184911245638</c:v>
                </c:pt>
                <c:pt idx="10">
                  <c:v>84.770094286421539</c:v>
                </c:pt>
                <c:pt idx="11">
                  <c:v>83.447753948895752</c:v>
                </c:pt>
                <c:pt idx="12">
                  <c:v>81.161219940442237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'[4677491368213212698..xls]Sayfa1'!$B$6</c:f>
              <c:strCache>
                <c:ptCount val="1"/>
                <c:pt idx="0">
                  <c:v>Mevsim Etkilerinden Arındırılmamış İnşaat Sektörü Güven Endeksi</c:v>
                </c:pt>
              </c:strCache>
            </c:strRef>
          </c:tx>
          <c:marker>
            <c:symbol val="none"/>
          </c:marker>
          <c:cat>
            <c:numRef>
              <c:f>'[4677491368213212698..xls]Sayfa1'!$C$4:$O$4</c:f>
              <c:numCache>
                <c:formatCode>mmm\-yy</c:formatCode>
                <c:ptCount val="13"/>
                <c:pt idx="0">
                  <c:v>41730</c:v>
                </c:pt>
                <c:pt idx="1">
                  <c:v>41760</c:v>
                </c:pt>
                <c:pt idx="2">
                  <c:v>41791</c:v>
                </c:pt>
                <c:pt idx="3">
                  <c:v>41821</c:v>
                </c:pt>
                <c:pt idx="4">
                  <c:v>41852</c:v>
                </c:pt>
                <c:pt idx="5">
                  <c:v>41883</c:v>
                </c:pt>
                <c:pt idx="6">
                  <c:v>41913</c:v>
                </c:pt>
                <c:pt idx="7">
                  <c:v>41944</c:v>
                </c:pt>
                <c:pt idx="8">
                  <c:v>41974</c:v>
                </c:pt>
                <c:pt idx="9">
                  <c:v>42005</c:v>
                </c:pt>
                <c:pt idx="10">
                  <c:v>42036</c:v>
                </c:pt>
                <c:pt idx="11">
                  <c:v>42064</c:v>
                </c:pt>
                <c:pt idx="12">
                  <c:v>42095</c:v>
                </c:pt>
              </c:numCache>
            </c:numRef>
          </c:cat>
          <c:val>
            <c:numRef>
              <c:f>'[4677491368213212698..xls]Sayfa1'!$C$6:$O$6</c:f>
              <c:numCache>
                <c:formatCode>0.0</c:formatCode>
                <c:ptCount val="13"/>
                <c:pt idx="0">
                  <c:v>86.729530303552096</c:v>
                </c:pt>
                <c:pt idx="1">
                  <c:v>86.229931433549794</c:v>
                </c:pt>
                <c:pt idx="2">
                  <c:v>84.260626536057302</c:v>
                </c:pt>
                <c:pt idx="3">
                  <c:v>80.9329538978795</c:v>
                </c:pt>
                <c:pt idx="4">
                  <c:v>82.211290707936001</c:v>
                </c:pt>
                <c:pt idx="5">
                  <c:v>80.9284085041851</c:v>
                </c:pt>
                <c:pt idx="6">
                  <c:v>74.846235557199606</c:v>
                </c:pt>
                <c:pt idx="7">
                  <c:v>75.944942703521903</c:v>
                </c:pt>
                <c:pt idx="8">
                  <c:v>73.489662247233198</c:v>
                </c:pt>
                <c:pt idx="9">
                  <c:v>81.092537142537495</c:v>
                </c:pt>
                <c:pt idx="10">
                  <c:v>87.528411968771593</c:v>
                </c:pt>
                <c:pt idx="11">
                  <c:v>89.874190311685496</c:v>
                </c:pt>
                <c:pt idx="12">
                  <c:v>88.786938905225668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975104"/>
        <c:axId val="72976640"/>
      </c:lineChart>
      <c:dateAx>
        <c:axId val="7297510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72976640"/>
        <c:crosses val="autoZero"/>
        <c:auto val="1"/>
        <c:lblOffset val="100"/>
        <c:baseTimeUnit val="months"/>
      </c:dateAx>
      <c:valAx>
        <c:axId val="7297664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72975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19435207360565"/>
          <c:y val="0.16048775153105863"/>
          <c:w val="0.21668760174300661"/>
          <c:h val="0.60958005249343838"/>
        </c:manualLayout>
      </c:layout>
      <c:overlay val="0"/>
      <c:txPr>
        <a:bodyPr/>
        <a:lstStyle/>
        <a:p>
          <a:pPr>
            <a:defRPr sz="800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984229477676447E-2"/>
          <c:y val="5.1400554097404488E-2"/>
          <c:w val="0.6762534566937608"/>
          <c:h val="0.74778142315543894"/>
        </c:manualLayout>
      </c:layout>
      <c:lineChart>
        <c:grouping val="standard"/>
        <c:varyColors val="0"/>
        <c:ser>
          <c:idx val="0"/>
          <c:order val="0"/>
          <c:tx>
            <c:strRef>
              <c:f>'[-1545591305280672807..xls]Sayfa1'!$C$4</c:f>
              <c:strCache>
                <c:ptCount val="1"/>
                <c:pt idx="0">
                  <c:v>Mevsim Etkilerinden Arındırımış Hizmet Sektörü Güven Endeksi</c:v>
                </c:pt>
              </c:strCache>
            </c:strRef>
          </c:tx>
          <c:marker>
            <c:symbol val="none"/>
          </c:marker>
          <c:cat>
            <c:numRef>
              <c:f>'[-1545591305280672807..xls]Sayfa1'!$D$3:$P$3</c:f>
              <c:numCache>
                <c:formatCode>mmm\-yy</c:formatCode>
                <c:ptCount val="13"/>
                <c:pt idx="0">
                  <c:v>41730</c:v>
                </c:pt>
                <c:pt idx="1">
                  <c:v>41760</c:v>
                </c:pt>
                <c:pt idx="2">
                  <c:v>41791</c:v>
                </c:pt>
                <c:pt idx="3">
                  <c:v>41821</c:v>
                </c:pt>
                <c:pt idx="4">
                  <c:v>41852</c:v>
                </c:pt>
                <c:pt idx="5">
                  <c:v>41883</c:v>
                </c:pt>
                <c:pt idx="6">
                  <c:v>41913</c:v>
                </c:pt>
                <c:pt idx="7">
                  <c:v>41944</c:v>
                </c:pt>
                <c:pt idx="8">
                  <c:v>41974</c:v>
                </c:pt>
                <c:pt idx="9">
                  <c:v>42005</c:v>
                </c:pt>
                <c:pt idx="10">
                  <c:v>42036</c:v>
                </c:pt>
                <c:pt idx="11">
                  <c:v>42064</c:v>
                </c:pt>
                <c:pt idx="12">
                  <c:v>42095</c:v>
                </c:pt>
              </c:numCache>
            </c:numRef>
          </c:cat>
          <c:val>
            <c:numRef>
              <c:f>'[-1545591305280672807..xls]Sayfa1'!$D$4:$P$4</c:f>
              <c:numCache>
                <c:formatCode>0.0</c:formatCode>
                <c:ptCount val="13"/>
                <c:pt idx="0">
                  <c:v>99.141599803333335</c:v>
                </c:pt>
                <c:pt idx="1">
                  <c:v>98.100531016666665</c:v>
                </c:pt>
                <c:pt idx="2">
                  <c:v>98.947577606666684</c:v>
                </c:pt>
                <c:pt idx="3">
                  <c:v>97.646413823333319</c:v>
                </c:pt>
                <c:pt idx="4">
                  <c:v>99.885550366666664</c:v>
                </c:pt>
                <c:pt idx="5">
                  <c:v>100.10333706</c:v>
                </c:pt>
                <c:pt idx="6">
                  <c:v>99.021687730000011</c:v>
                </c:pt>
                <c:pt idx="7">
                  <c:v>97.931647596666664</c:v>
                </c:pt>
                <c:pt idx="8">
                  <c:v>98.850121166666668</c:v>
                </c:pt>
                <c:pt idx="9">
                  <c:v>100.96899452999999</c:v>
                </c:pt>
                <c:pt idx="10">
                  <c:v>101.76901597</c:v>
                </c:pt>
                <c:pt idx="11">
                  <c:v>101.02622123333333</c:v>
                </c:pt>
                <c:pt idx="12">
                  <c:v>100.53433624999998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'[-1545591305280672807..xls]Sayfa1'!$C$5</c:f>
              <c:strCache>
                <c:ptCount val="1"/>
                <c:pt idx="0">
                  <c:v>Mevsim Etkilerinden Arındırılmamış Hizmet Sektörü Güven Endeksi</c:v>
                </c:pt>
              </c:strCache>
            </c:strRef>
          </c:tx>
          <c:marker>
            <c:symbol val="none"/>
          </c:marker>
          <c:cat>
            <c:numRef>
              <c:f>'[-1545591305280672807..xls]Sayfa1'!$D$3:$P$3</c:f>
              <c:numCache>
                <c:formatCode>mmm\-yy</c:formatCode>
                <c:ptCount val="13"/>
                <c:pt idx="0">
                  <c:v>41730</c:v>
                </c:pt>
                <c:pt idx="1">
                  <c:v>41760</c:v>
                </c:pt>
                <c:pt idx="2">
                  <c:v>41791</c:v>
                </c:pt>
                <c:pt idx="3">
                  <c:v>41821</c:v>
                </c:pt>
                <c:pt idx="4">
                  <c:v>41852</c:v>
                </c:pt>
                <c:pt idx="5">
                  <c:v>41883</c:v>
                </c:pt>
                <c:pt idx="6">
                  <c:v>41913</c:v>
                </c:pt>
                <c:pt idx="7">
                  <c:v>41944</c:v>
                </c:pt>
                <c:pt idx="8">
                  <c:v>41974</c:v>
                </c:pt>
                <c:pt idx="9">
                  <c:v>42005</c:v>
                </c:pt>
                <c:pt idx="10">
                  <c:v>42036</c:v>
                </c:pt>
                <c:pt idx="11">
                  <c:v>42064</c:v>
                </c:pt>
                <c:pt idx="12">
                  <c:v>42095</c:v>
                </c:pt>
              </c:numCache>
            </c:numRef>
          </c:cat>
          <c:val>
            <c:numRef>
              <c:f>'[-1545591305280672807..xls]Sayfa1'!$D$5:$P$5</c:f>
              <c:numCache>
                <c:formatCode>0.0</c:formatCode>
                <c:ptCount val="13"/>
                <c:pt idx="0">
                  <c:v>104.108310645949</c:v>
                </c:pt>
                <c:pt idx="1">
                  <c:v>105.077599918329</c:v>
                </c:pt>
                <c:pt idx="2">
                  <c:v>105.623272867715</c:v>
                </c:pt>
                <c:pt idx="3">
                  <c:v>99.725627859344101</c:v>
                </c:pt>
                <c:pt idx="4">
                  <c:v>103.183202686927</c:v>
                </c:pt>
                <c:pt idx="5">
                  <c:v>101.856218110916</c:v>
                </c:pt>
                <c:pt idx="6">
                  <c:v>98.382789202470605</c:v>
                </c:pt>
                <c:pt idx="7">
                  <c:v>91.113463503082599</c:v>
                </c:pt>
                <c:pt idx="8">
                  <c:v>89.521856079014</c:v>
                </c:pt>
                <c:pt idx="9">
                  <c:v>94.840876380301907</c:v>
                </c:pt>
                <c:pt idx="10">
                  <c:v>99.785975992814699</c:v>
                </c:pt>
                <c:pt idx="11">
                  <c:v>100.581431364108</c:v>
                </c:pt>
                <c:pt idx="12">
                  <c:v>105.5917942144827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001600"/>
        <c:axId val="78209408"/>
      </c:lineChart>
      <c:dateAx>
        <c:axId val="7300160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78209408"/>
        <c:crosses val="autoZero"/>
        <c:auto val="1"/>
        <c:lblOffset val="100"/>
        <c:baseTimeUnit val="months"/>
      </c:dateAx>
      <c:valAx>
        <c:axId val="7820940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73001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138211905757891"/>
          <c:y val="0.15585812190142898"/>
          <c:w val="0.23646664637242731"/>
          <c:h val="0.59106153397491978"/>
        </c:manualLayout>
      </c:layout>
      <c:overlay val="0"/>
      <c:txPr>
        <a:bodyPr/>
        <a:lstStyle/>
        <a:p>
          <a:pPr>
            <a:defRPr sz="800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8ECC5-8459-42B7-8BEB-7E38F23C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Aysegul</cp:lastModifiedBy>
  <cp:revision>11</cp:revision>
  <dcterms:created xsi:type="dcterms:W3CDTF">2015-04-24T09:00:00Z</dcterms:created>
  <dcterms:modified xsi:type="dcterms:W3CDTF">2015-04-24T12:36:00Z</dcterms:modified>
</cp:coreProperties>
</file>