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82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5099"/>
        <w:gridCol w:w="4200"/>
      </w:tblGrid>
      <w:tr w:rsidR="00AD2065" w:rsidTr="00396C07">
        <w:trPr>
          <w:trHeight w:val="915"/>
        </w:trPr>
        <w:tc>
          <w:tcPr>
            <w:tcW w:w="5644" w:type="dxa"/>
            <w:vAlign w:val="center"/>
          </w:tcPr>
          <w:p w:rsidR="00B452A7" w:rsidRDefault="00817D01" w:rsidP="00F6200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2015</w:t>
            </w:r>
            <w:r w:rsidR="00AD2065">
              <w:rPr>
                <w:rFonts w:asciiTheme="majorHAnsi" w:eastAsiaTheme="majorEastAsia" w:hAnsiTheme="majorHAnsi" w:cstheme="majorBidi"/>
                <w:sz w:val="36"/>
                <w:szCs w:val="36"/>
              </w:rPr>
              <w:t xml:space="preserve"> </w:t>
            </w:r>
            <w:r w:rsidR="00B452A7">
              <w:rPr>
                <w:rFonts w:asciiTheme="majorHAnsi" w:eastAsiaTheme="majorEastAsia" w:hAnsiTheme="majorHAnsi" w:cstheme="majorBidi"/>
                <w:sz w:val="36"/>
                <w:szCs w:val="36"/>
              </w:rPr>
              <w:t>MART</w:t>
            </w:r>
            <w:r w:rsidR="00AD2065">
              <w:rPr>
                <w:rFonts w:asciiTheme="majorHAnsi" w:eastAsiaTheme="majorEastAsia" w:hAnsiTheme="majorHAnsi" w:cstheme="majorBidi"/>
                <w:sz w:val="36"/>
                <w:szCs w:val="36"/>
              </w:rPr>
              <w:t xml:space="preserve"> </w:t>
            </w:r>
          </w:p>
          <w:p w:rsidR="00AD2065" w:rsidRDefault="00AD2065" w:rsidP="00F6200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ENFLASYON RAKAMLARI</w:t>
            </w:r>
          </w:p>
        </w:tc>
        <w:tc>
          <w:tcPr>
            <w:tcW w:w="4678" w:type="dxa"/>
          </w:tcPr>
          <w:p w:rsidR="00AD2065" w:rsidRDefault="00B452A7" w:rsidP="00F6200C">
            <w:pPr>
              <w:pStyle w:val="stbilgi"/>
              <w:spacing w:line="276" w:lineRule="auto"/>
              <w:jc w:val="cent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Cs/>
                <w:sz w:val="28"/>
                <w:szCs w:val="36"/>
              </w:rPr>
              <w:t>3 Nisan</w:t>
            </w:r>
            <w:r w:rsidR="00AD2065">
              <w:rPr>
                <w:rFonts w:asciiTheme="majorHAnsi" w:eastAsiaTheme="majorEastAsia" w:hAnsiTheme="majorHAnsi" w:cstheme="majorBidi"/>
                <w:bCs/>
                <w:sz w:val="28"/>
                <w:szCs w:val="36"/>
              </w:rPr>
              <w:t xml:space="preserve"> 201</w:t>
            </w:r>
            <w:r w:rsidR="00817D01">
              <w:rPr>
                <w:rFonts w:asciiTheme="majorHAnsi" w:eastAsiaTheme="majorEastAsia" w:hAnsiTheme="majorHAnsi" w:cstheme="majorBidi"/>
                <w:bCs/>
                <w:sz w:val="28"/>
                <w:szCs w:val="36"/>
              </w:rPr>
              <w:t>5</w:t>
            </w:r>
            <w:r w:rsidR="00AD2065">
              <w:rPr>
                <w:rFonts w:asciiTheme="majorHAnsi" w:eastAsiaTheme="majorEastAsia" w:hAnsiTheme="majorHAnsi" w:cstheme="majorBidi"/>
                <w:bCs/>
                <w:sz w:val="28"/>
                <w:szCs w:val="36"/>
              </w:rPr>
              <w:t xml:space="preserve">  </w:t>
            </w:r>
            <w:r w:rsidR="00AD2065">
              <w:rPr>
                <w:rFonts w:asciiTheme="majorHAnsi" w:eastAsiaTheme="majorEastAsia" w:hAnsiTheme="majorHAnsi" w:cstheme="majorBidi"/>
                <w:b/>
                <w:bCs/>
                <w:noProof/>
                <w:color w:val="4F81BD" w:themeColor="accent1"/>
                <w:sz w:val="36"/>
                <w:szCs w:val="36"/>
              </w:rPr>
              <w:drawing>
                <wp:inline distT="0" distB="0" distL="0" distR="0">
                  <wp:extent cx="892754" cy="533400"/>
                  <wp:effectExtent l="0" t="0" r="0" b="0"/>
                  <wp:docPr id="2" name="Resim 2" descr="C:\Users\asus\Desktop\te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tepav.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2754" cy="533400"/>
                          </a:xfrm>
                          <a:prstGeom prst="rect">
                            <a:avLst/>
                          </a:prstGeom>
                          <a:noFill/>
                          <a:ln>
                            <a:noFill/>
                          </a:ln>
                        </pic:spPr>
                      </pic:pic>
                    </a:graphicData>
                  </a:graphic>
                </wp:inline>
              </w:drawing>
            </w:r>
            <w:r w:rsidR="00AD2065">
              <w:rPr>
                <w:rFonts w:asciiTheme="majorHAnsi" w:eastAsiaTheme="majorEastAsia" w:hAnsiTheme="majorHAnsi" w:cstheme="majorBidi"/>
                <w:bCs/>
                <w:sz w:val="28"/>
                <w:szCs w:val="36"/>
              </w:rPr>
              <w:t xml:space="preserve">              </w:t>
            </w:r>
          </w:p>
        </w:tc>
      </w:tr>
    </w:tbl>
    <w:p w:rsidR="00AD2065" w:rsidRDefault="00AD2065" w:rsidP="00AD2065">
      <w:pPr>
        <w:pStyle w:val="stbilgi"/>
      </w:pPr>
    </w:p>
    <w:p w:rsidR="00AD2065" w:rsidRPr="00EF4E45" w:rsidRDefault="00F6200C" w:rsidP="00AD2065">
      <w:pPr>
        <w:rPr>
          <w:b/>
        </w:rPr>
      </w:pPr>
      <w:r>
        <w:rPr>
          <w:b/>
        </w:rPr>
        <w:t>Mart</w:t>
      </w:r>
      <w:r w:rsidR="00773BC6">
        <w:rPr>
          <w:b/>
        </w:rPr>
        <w:t xml:space="preserve"> 2015</w:t>
      </w:r>
      <w:r w:rsidR="00EF4E45" w:rsidRPr="00EF4E45">
        <w:rPr>
          <w:b/>
        </w:rPr>
        <w:t xml:space="preserve"> Tüketici Fiyat Endeksi’ne(TÜFE) ilişkin veriler Türkiye İstat</w:t>
      </w:r>
      <w:r w:rsidR="00445DB0">
        <w:rPr>
          <w:b/>
        </w:rPr>
        <w:t>istik Kurumu (TÜİK) tarafından 3</w:t>
      </w:r>
      <w:r w:rsidR="00EF4E45" w:rsidRPr="00EF4E45">
        <w:rPr>
          <w:b/>
        </w:rPr>
        <w:t xml:space="preserve"> </w:t>
      </w:r>
      <w:r>
        <w:rPr>
          <w:b/>
        </w:rPr>
        <w:t>Nisan</w:t>
      </w:r>
      <w:r w:rsidR="00817D01">
        <w:rPr>
          <w:b/>
        </w:rPr>
        <w:t xml:space="preserve"> 2015</w:t>
      </w:r>
      <w:r w:rsidR="00EF4E45" w:rsidRPr="00EF4E45">
        <w:rPr>
          <w:b/>
        </w:rPr>
        <w:t xml:space="preserve"> tarihinde yayımlandı.</w:t>
      </w:r>
    </w:p>
    <w:p w:rsidR="00DF5145" w:rsidRPr="003A57CB" w:rsidRDefault="00EF4E45" w:rsidP="00EF4E45">
      <w:pPr>
        <w:rPr>
          <w:sz w:val="14"/>
          <w:szCs w:val="14"/>
        </w:rPr>
      </w:pPr>
      <w:r>
        <w:t>TÜİK tarafından aylık yayımlanan TÜFE, kentlerde yaşayan hanelerin tükettiği mal ve hizmet fiyatlarının zaman içindeki ortalama değişim hakkında bilgi vermektedir.</w:t>
      </w:r>
    </w:p>
    <w:bookmarkStart w:id="0" w:name="_MON_1473601776"/>
    <w:bookmarkEnd w:id="0"/>
    <w:p w:rsidR="000701FD" w:rsidRDefault="00CA0CAC" w:rsidP="00EF4E45">
      <w:pPr>
        <w:rPr>
          <w:sz w:val="14"/>
          <w:szCs w:val="14"/>
        </w:rPr>
      </w:pPr>
      <w:r w:rsidRPr="00432DF5">
        <w:rPr>
          <w:sz w:val="14"/>
          <w:szCs w:val="14"/>
        </w:rPr>
        <w:object w:dxaOrig="7706" w:dyaOrig="4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75pt;height:204pt" o:ole="">
            <v:imagedata r:id="rId7" o:title=""/>
          </v:shape>
          <o:OLEObject Type="Embed" ProgID="Excel.Sheet.12" ShapeID="_x0000_i1025" DrawAspect="Content" ObjectID="_1489847342" r:id="rId8"/>
        </w:object>
      </w:r>
    </w:p>
    <w:p w:rsidR="00C144CC" w:rsidRPr="00BC5F10" w:rsidRDefault="00C144CC" w:rsidP="00C144CC">
      <w:pPr>
        <w:rPr>
          <w:b/>
          <w:sz w:val="16"/>
          <w:szCs w:val="14"/>
        </w:rPr>
      </w:pPr>
      <w:r w:rsidRPr="00BC5F10">
        <w:rPr>
          <w:b/>
          <w:sz w:val="16"/>
          <w:szCs w:val="14"/>
        </w:rPr>
        <w:t>Tablo 1:</w:t>
      </w:r>
      <w:r w:rsidRPr="00BC5F10">
        <w:rPr>
          <w:b/>
          <w:sz w:val="24"/>
        </w:rPr>
        <w:t xml:space="preserve"> </w:t>
      </w:r>
      <w:r w:rsidRPr="00BC5F10">
        <w:rPr>
          <w:b/>
          <w:sz w:val="16"/>
          <w:szCs w:val="14"/>
        </w:rPr>
        <w:t>Ana-Harcama Gruplarına Göre Tüketici Fiyat Endeksi ve Değişim Oranları</w:t>
      </w:r>
    </w:p>
    <w:p w:rsidR="00C144CC" w:rsidRDefault="00C144CC" w:rsidP="00C144CC">
      <w:pPr>
        <w:rPr>
          <w:sz w:val="14"/>
          <w:szCs w:val="14"/>
        </w:rPr>
      </w:pPr>
      <w:r>
        <w:rPr>
          <w:sz w:val="14"/>
          <w:szCs w:val="14"/>
        </w:rPr>
        <w:t>*Bir önceki yılın aynı ayına göre enflasyon değişimi</w:t>
      </w:r>
    </w:p>
    <w:p w:rsidR="00C144CC" w:rsidRDefault="00C144CC" w:rsidP="00C144CC">
      <w:pPr>
        <w:rPr>
          <w:sz w:val="14"/>
          <w:szCs w:val="14"/>
        </w:rPr>
      </w:pPr>
      <w:r>
        <w:rPr>
          <w:sz w:val="14"/>
          <w:szCs w:val="14"/>
        </w:rPr>
        <w:t>**Aynı yılın bir önceki ayına göre enflasyon değişimi</w:t>
      </w:r>
    </w:p>
    <w:p w:rsidR="00C144CC" w:rsidRPr="00C144CC" w:rsidRDefault="00E65D11" w:rsidP="00C144CC">
      <w:pPr>
        <w:jc w:val="both"/>
      </w:pPr>
      <w:r>
        <w:t>Mart</w:t>
      </w:r>
      <w:r w:rsidR="00574C38" w:rsidRPr="00C144CC">
        <w:t xml:space="preserve"> ayında Türkiye (TR) Geneli TÜFE endeksi (</w:t>
      </w:r>
      <w:r w:rsidR="00405C23">
        <w:t>Tablo</w:t>
      </w:r>
      <w:r w:rsidR="00574C38" w:rsidRPr="00C144CC">
        <w:t xml:space="preserve"> 1) bir önceki aya (</w:t>
      </w:r>
      <w:r w:rsidR="00A347FE">
        <w:t>Şubat</w:t>
      </w:r>
      <w:r w:rsidR="00500648">
        <w:t xml:space="preserve"> 2015</w:t>
      </w:r>
      <w:r w:rsidR="00574C38">
        <w:t xml:space="preserve">) göre yüzde </w:t>
      </w:r>
      <w:r w:rsidR="00A347FE">
        <w:t>1,19 artış göstererek 255</w:t>
      </w:r>
      <w:r w:rsidR="00500648">
        <w:t>,</w:t>
      </w:r>
      <w:r w:rsidR="00A347FE">
        <w:t>2</w:t>
      </w:r>
      <w:r w:rsidR="00500648">
        <w:t>3</w:t>
      </w:r>
      <w:r w:rsidR="00574C38" w:rsidRPr="00C144CC">
        <w:t xml:space="preserve"> değeri</w:t>
      </w:r>
      <w:r w:rsidR="00574C38">
        <w:t>ni</w:t>
      </w:r>
      <w:r w:rsidR="00574C38" w:rsidRPr="00C144CC">
        <w:t xml:space="preserve"> almıştır</w:t>
      </w:r>
      <w:r w:rsidR="00574C38">
        <w:t xml:space="preserve">. </w:t>
      </w:r>
      <w:r w:rsidR="00574C38" w:rsidRPr="00C144CC">
        <w:t xml:space="preserve">Endeks bir önceki yılın aynı ayına göre yüzde </w:t>
      </w:r>
      <w:r>
        <w:t>7,61</w:t>
      </w:r>
      <w:r w:rsidR="00574C38">
        <w:t xml:space="preserve"> </w:t>
      </w:r>
      <w:r w:rsidR="00574C38" w:rsidRPr="00C144CC">
        <w:t xml:space="preserve">oranında artış göstermiştir. </w:t>
      </w:r>
      <w:r>
        <w:t>Mart</w:t>
      </w:r>
      <w:r w:rsidR="00E50C57">
        <w:t xml:space="preserve"> (2015</w:t>
      </w:r>
      <w:r w:rsidR="00574C38" w:rsidRPr="00C144CC">
        <w:t xml:space="preserve">) ayında ana harcama grupları itibariyle en yüksek artış </w:t>
      </w:r>
      <w:r w:rsidR="003C5DE5">
        <w:t>yüzde 2</w:t>
      </w:r>
      <w:r w:rsidR="00E50C57">
        <w:t>,</w:t>
      </w:r>
      <w:r>
        <w:t>47</w:t>
      </w:r>
      <w:r w:rsidR="00574C38" w:rsidRPr="00C144CC">
        <w:t xml:space="preserve"> ile</w:t>
      </w:r>
      <w:r w:rsidR="003C5DE5">
        <w:t xml:space="preserve"> gıda ve alkolsüz içecekler</w:t>
      </w:r>
      <w:r w:rsidR="00574C38" w:rsidRPr="00C144CC">
        <w:t xml:space="preserve"> grubunda yaşanırken, bunu yüzde </w:t>
      </w:r>
      <w:r w:rsidR="00797EBE">
        <w:t>1,42</w:t>
      </w:r>
      <w:r w:rsidR="00574C38" w:rsidRPr="00C144CC">
        <w:t xml:space="preserve"> artışla </w:t>
      </w:r>
      <w:r w:rsidR="00797EBE">
        <w:t xml:space="preserve">lokanta ve oteller grubu </w:t>
      </w:r>
      <w:r w:rsidR="003E4EC1">
        <w:t>ve</w:t>
      </w:r>
      <w:r w:rsidR="00574C38" w:rsidRPr="00C144CC">
        <w:t xml:space="preserve"> yüzde </w:t>
      </w:r>
      <w:r w:rsidR="00797EBE">
        <w:t>1,22</w:t>
      </w:r>
      <w:r w:rsidR="00574C38" w:rsidRPr="00C144CC">
        <w:t xml:space="preserve"> artışla </w:t>
      </w:r>
      <w:r w:rsidR="00797EBE">
        <w:t>eğlence ve kültür</w:t>
      </w:r>
      <w:r w:rsidR="00853A88">
        <w:t xml:space="preserve"> </w:t>
      </w:r>
      <w:r w:rsidR="00574C38">
        <w:t>grubu</w:t>
      </w:r>
      <w:r w:rsidR="00574C38" w:rsidRPr="00C144CC">
        <w:t xml:space="preserve"> takip etmektedir. </w:t>
      </w:r>
      <w:r w:rsidR="00CA0CAC">
        <w:t>Düşüş gösteren ana harcama kategorileri ise yüzde 0,01 (negatif) ile alkollü içerecekler ve tütün grubu ve yüzde 0,03 (negatif) ile haberleşme grubudur</w:t>
      </w:r>
    </w:p>
    <w:p w:rsidR="006D41B5" w:rsidRPr="00C144CC" w:rsidRDefault="006D41B5" w:rsidP="00C144CC">
      <w:pPr>
        <w:jc w:val="both"/>
      </w:pPr>
      <w:r w:rsidRPr="00C144CC">
        <w:t xml:space="preserve">Tablo 1’deki veriler ana harcama grupları ve genel endeksler ile bu endekslerin büyüme hızları (enflasyon) konusunda bilgi vermektedir. Ancak ana harcama gruplarının ortalama enflasyon oranına etkisi bu grupların tüketici sepetindeki ağırlıklarına bağlı olacaktır. </w:t>
      </w:r>
    </w:p>
    <w:p w:rsidR="00C144CC" w:rsidRPr="0070186C" w:rsidRDefault="006D41B5" w:rsidP="00C144CC">
      <w:pPr>
        <w:jc w:val="both"/>
        <w:rPr>
          <w:b/>
        </w:rPr>
      </w:pPr>
      <w:r w:rsidRPr="00D2299D">
        <w:t>Ana harcama grup endekslerindeki yüzde artışlar bu harcama gruplarının tüketici sepeti içindeki</w:t>
      </w:r>
      <w:r w:rsidR="00C144CC" w:rsidRPr="00D2299D">
        <w:t xml:space="preserve"> </w:t>
      </w:r>
      <w:r w:rsidRPr="00D2299D">
        <w:t xml:space="preserve">payları ile çarpılarak ortalama (TÜFE </w:t>
      </w:r>
      <w:r w:rsidR="00C144CC" w:rsidRPr="00D2299D">
        <w:t>temelli</w:t>
      </w:r>
      <w:r w:rsidRPr="00D2299D">
        <w:t>) enflasyona etkileri grafikte verilmiştir. Türkiye genelindeki ortalama fiyat artışına en büyük etki (0,</w:t>
      </w:r>
      <w:r w:rsidR="00797EBE">
        <w:t>61</w:t>
      </w:r>
      <w:r w:rsidRPr="00D2299D">
        <w:t xml:space="preserve">) </w:t>
      </w:r>
      <w:r w:rsidR="00853A88">
        <w:t>gıda ve alkolsüz</w:t>
      </w:r>
      <w:r w:rsidR="00C144CC" w:rsidRPr="00D2299D">
        <w:t xml:space="preserve"> </w:t>
      </w:r>
      <w:r w:rsidR="00853A88">
        <w:t xml:space="preserve">içecekler </w:t>
      </w:r>
      <w:r w:rsidR="00113AD5">
        <w:t>grubundan</w:t>
      </w:r>
      <w:r w:rsidRPr="00D2299D">
        <w:t xml:space="preserve"> gelmektedir.</w:t>
      </w:r>
      <w:r w:rsidR="00CA0CAC">
        <w:t xml:space="preserve"> </w:t>
      </w:r>
      <w:r w:rsidR="0070700B">
        <w:t xml:space="preserve">negatif </w:t>
      </w:r>
      <w:r w:rsidRPr="00D2299D">
        <w:t xml:space="preserve">olarak </w:t>
      </w:r>
      <w:r w:rsidR="00CA0CAC">
        <w:t xml:space="preserve"> etki eden bir harcama grubu olmamıştır.</w:t>
      </w:r>
    </w:p>
    <w:p w:rsidR="00C144CC" w:rsidRPr="00C144CC" w:rsidRDefault="00CA0CAC" w:rsidP="00C144CC">
      <w:pPr>
        <w:jc w:val="both"/>
      </w:pPr>
      <w:r>
        <w:lastRenderedPageBreak/>
        <w:t xml:space="preserve">TÜFE </w:t>
      </w:r>
      <w:r w:rsidR="006D41B5" w:rsidRPr="00C144CC">
        <w:t>endeksleri daha çok öncü olmayan (gecikmeli) bir değişken olduğundan geleceğe ilişkin tahmin konusunda önemli bilgiler sağlamasa da, işlenmemiş</w:t>
      </w:r>
      <w:r w:rsidR="00C144CC">
        <w:t xml:space="preserve"> </w:t>
      </w:r>
      <w:r w:rsidR="006D41B5" w:rsidRPr="00C144CC">
        <w:t>gıda ve enerji hariç endeksindeki yüzde</w:t>
      </w:r>
      <w:r w:rsidR="00026001">
        <w:t xml:space="preserve"> 0,58</w:t>
      </w:r>
      <w:r w:rsidR="006D41B5" w:rsidRPr="00C144CC">
        <w:t xml:space="preserve"> artış</w:t>
      </w:r>
      <w:r w:rsidR="00C144CC">
        <w:t xml:space="preserve"> </w:t>
      </w:r>
      <w:r w:rsidR="006D41B5" w:rsidRPr="00C144CC">
        <w:t>bir anlamda çekirdek enflasyon olarak değerlendirilebilir ve enflasyonun eğilimi konusunda ipuçları verebilir.</w:t>
      </w:r>
    </w:p>
    <w:p w:rsidR="00405C23" w:rsidRDefault="008D1077" w:rsidP="001F15FC">
      <w:pPr>
        <w:jc w:val="both"/>
      </w:pPr>
      <w:r>
        <w:t>TÜİ</w:t>
      </w:r>
      <w:r w:rsidR="00C21D8B">
        <w:t>K tarafından hesaplanan ö</w:t>
      </w:r>
      <w:r w:rsidR="006D41B5" w:rsidRPr="00C144CC">
        <w:t>zel kapsamlı TÜFE göstergelerinden işlenmemiş</w:t>
      </w:r>
      <w:r w:rsidR="00C144CC">
        <w:t xml:space="preserve"> </w:t>
      </w:r>
      <w:r w:rsidR="006D41B5" w:rsidRPr="00C144CC">
        <w:t>gıda ve enerji hariç TÜFE end</w:t>
      </w:r>
      <w:r>
        <w:t>eks</w:t>
      </w:r>
      <w:r w:rsidR="0070700B">
        <w:t>i bir önceki aya göre yüzde 0,</w:t>
      </w:r>
      <w:r w:rsidR="00026001">
        <w:t>58</w:t>
      </w:r>
      <w:r w:rsidR="006D41B5" w:rsidRPr="00C144CC">
        <w:t xml:space="preserve"> oranında artmıştır. Bu endeks son 12</w:t>
      </w:r>
      <w:r w:rsidR="0070700B">
        <w:t xml:space="preserve"> ayda ortalama olarak yüzde 9,</w:t>
      </w:r>
      <w:r w:rsidR="00026001">
        <w:t>19</w:t>
      </w:r>
      <w:r w:rsidR="006D41B5" w:rsidRPr="00C144CC">
        <w:t xml:space="preserve"> oranında artarak endeks 23</w:t>
      </w:r>
      <w:r w:rsidR="00026001">
        <w:t>9,33</w:t>
      </w:r>
      <w:r w:rsidR="006D41B5" w:rsidRPr="00C144CC">
        <w:t xml:space="preserve"> değer</w:t>
      </w:r>
      <w:r>
        <w:t>i</w:t>
      </w:r>
      <w:r w:rsidR="00CC7D5F">
        <w:t>ni</w:t>
      </w:r>
      <w:r w:rsidR="0070700B">
        <w:t xml:space="preserve"> almı</w:t>
      </w:r>
      <w:r w:rsidR="00C97D83">
        <w:t>ştır. Genel endeks y</w:t>
      </w:r>
      <w:r w:rsidR="00026001">
        <w:t>üzde 1,19</w:t>
      </w:r>
      <w:r w:rsidR="006D41B5" w:rsidRPr="00C144CC">
        <w:t xml:space="preserve"> artarken işlenmemiş</w:t>
      </w:r>
      <w:r w:rsidR="00C144CC">
        <w:t xml:space="preserve"> </w:t>
      </w:r>
      <w:r w:rsidR="006D41B5" w:rsidRPr="00C144CC">
        <w:t xml:space="preserve">gıda ve enerji hariç </w:t>
      </w:r>
      <w:r>
        <w:t>(öz</w:t>
      </w:r>
      <w:r w:rsidR="00026001">
        <w:t>el kapsamlı) endeksin yüzde 0,58</w:t>
      </w:r>
      <w:r w:rsidR="006D41B5" w:rsidRPr="00C144CC">
        <w:t xml:space="preserve"> oranında artması</w:t>
      </w:r>
      <w:r w:rsidR="005C53F8">
        <w:t>;</w:t>
      </w:r>
      <w:r w:rsidR="006D41B5" w:rsidRPr="00C144CC">
        <w:t xml:space="preserve"> enflasyonun</w:t>
      </w:r>
      <w:r w:rsidR="0070186C">
        <w:t xml:space="preserve"> bu ay yükseliş</w:t>
      </w:r>
      <w:r w:rsidR="006D41B5" w:rsidRPr="006020BD">
        <w:t xml:space="preserve"> eğiliminde </w:t>
      </w:r>
      <w:r w:rsidR="00026001">
        <w:t>olduğuna</w:t>
      </w:r>
      <w:r w:rsidR="006D41B5" w:rsidRPr="006020BD">
        <w:t xml:space="preserve"> ilişkin bir ipucu olarak değerlendirilebilir</w:t>
      </w:r>
      <w:r w:rsidR="006D41B5" w:rsidRPr="00C144CC">
        <w:t xml:space="preserve">. </w:t>
      </w:r>
      <w:r w:rsidR="0070186C">
        <w:t>İ</w:t>
      </w:r>
      <w:r w:rsidRPr="00C144CC">
        <w:t>şlenmemiş</w:t>
      </w:r>
      <w:r>
        <w:t xml:space="preserve"> </w:t>
      </w:r>
      <w:r w:rsidRPr="00C144CC">
        <w:t xml:space="preserve">gıda ve enerji hariç </w:t>
      </w:r>
      <w:r>
        <w:t>(özel kapsamlı)</w:t>
      </w:r>
      <w:r w:rsidR="006D41B5" w:rsidRPr="00C144CC">
        <w:t xml:space="preserve"> endeksin bir önceki yılın aynı ayına göre artış</w:t>
      </w:r>
      <w:r w:rsidR="00C144CC">
        <w:t xml:space="preserve"> </w:t>
      </w:r>
      <w:r w:rsidR="006D41B5" w:rsidRPr="00C144CC">
        <w:t>oranı yü</w:t>
      </w:r>
      <w:r>
        <w:t>zde</w:t>
      </w:r>
      <w:r w:rsidR="009869AF">
        <w:t xml:space="preserve"> 7,42</w:t>
      </w:r>
      <w:r w:rsidR="00C144CC">
        <w:t xml:space="preserve"> olarak gerçekleşmiştir.</w:t>
      </w:r>
    </w:p>
    <w:p w:rsidR="00405C23" w:rsidRDefault="00405C23" w:rsidP="00405C23">
      <w:pPr>
        <w:pStyle w:val="ResimYazs"/>
        <w:keepNext/>
        <w:jc w:val="both"/>
      </w:pPr>
      <w:r>
        <w:t xml:space="preserve">Şekil </w:t>
      </w:r>
      <w:fldSimple w:instr=" SEQ Tablo \* ARABIC ">
        <w:r>
          <w:rPr>
            <w:noProof/>
          </w:rPr>
          <w:t>1</w:t>
        </w:r>
      </w:fldSimple>
      <w:r>
        <w:t xml:space="preserve">: </w:t>
      </w:r>
      <w:r w:rsidRPr="006020BD">
        <w:rPr>
          <w:sz w:val="16"/>
          <w:szCs w:val="14"/>
        </w:rPr>
        <w:t>2004-201</w:t>
      </w:r>
      <w:r>
        <w:rPr>
          <w:sz w:val="16"/>
          <w:szCs w:val="14"/>
        </w:rPr>
        <w:t>4</w:t>
      </w:r>
      <w:r w:rsidRPr="006020BD">
        <w:rPr>
          <w:sz w:val="16"/>
          <w:szCs w:val="14"/>
        </w:rPr>
        <w:t xml:space="preserve"> zaman aralığında enflasyon değişim</w:t>
      </w:r>
      <w:r w:rsidRPr="006020BD">
        <w:rPr>
          <w:sz w:val="16"/>
          <w:szCs w:val="14"/>
        </w:rPr>
        <w:tab/>
      </w:r>
    </w:p>
    <w:p w:rsidR="009F54F1" w:rsidRPr="00526414" w:rsidRDefault="00526414" w:rsidP="00405C23">
      <w:pPr>
        <w:jc w:val="both"/>
        <w:rPr>
          <w:sz w:val="14"/>
          <w:szCs w:val="14"/>
        </w:rPr>
      </w:pPr>
      <w:r w:rsidRPr="00526414">
        <w:rPr>
          <w:noProof/>
          <w:sz w:val="14"/>
          <w:szCs w:val="14"/>
        </w:rPr>
        <w:drawing>
          <wp:inline distT="0" distB="0" distL="0" distR="0">
            <wp:extent cx="5429250" cy="2743200"/>
            <wp:effectExtent l="0" t="0" r="0" b="0"/>
            <wp:docPr id="3"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C144CC" w:rsidRPr="00C144CC">
        <w:rPr>
          <w:b/>
          <w:sz w:val="14"/>
          <w:szCs w:val="14"/>
        </w:rPr>
        <w:tab/>
      </w:r>
      <w:r w:rsidR="00C144CC" w:rsidRPr="00C144CC">
        <w:rPr>
          <w:b/>
          <w:sz w:val="14"/>
          <w:szCs w:val="14"/>
        </w:rPr>
        <w:tab/>
      </w:r>
    </w:p>
    <w:p w:rsidR="00405C23" w:rsidRDefault="00405C23" w:rsidP="00405C23">
      <w:pPr>
        <w:pStyle w:val="ResimYazs"/>
        <w:keepNext/>
      </w:pPr>
      <w:r>
        <w:t xml:space="preserve">Şekil </w:t>
      </w:r>
      <w:fldSimple w:instr=" SEQ Tablo \* ARABIC ">
        <w:r>
          <w:rPr>
            <w:noProof/>
          </w:rPr>
          <w:t>2</w:t>
        </w:r>
      </w:fldSimple>
      <w:r>
        <w:t xml:space="preserve">: </w:t>
      </w:r>
      <w:r w:rsidRPr="006020BD">
        <w:rPr>
          <w:sz w:val="16"/>
          <w:szCs w:val="14"/>
        </w:rPr>
        <w:t xml:space="preserve">: </w:t>
      </w:r>
      <w:r>
        <w:rPr>
          <w:sz w:val="16"/>
          <w:szCs w:val="14"/>
        </w:rPr>
        <w:t>B</w:t>
      </w:r>
      <w:r w:rsidRPr="006020BD">
        <w:rPr>
          <w:sz w:val="16"/>
          <w:szCs w:val="14"/>
        </w:rPr>
        <w:t>ir önceki aya göre (aylık)</w:t>
      </w:r>
      <w:r>
        <w:rPr>
          <w:sz w:val="16"/>
          <w:szCs w:val="14"/>
        </w:rPr>
        <w:t xml:space="preserve"> 12 aylık</w:t>
      </w:r>
      <w:r w:rsidRPr="006020BD">
        <w:rPr>
          <w:sz w:val="16"/>
          <w:szCs w:val="14"/>
        </w:rPr>
        <w:t xml:space="preserve"> enflasyon verileri.</w:t>
      </w:r>
      <w:r w:rsidRPr="006020BD">
        <w:rPr>
          <w:sz w:val="16"/>
          <w:szCs w:val="14"/>
        </w:rPr>
        <w:tab/>
      </w:r>
      <w:r w:rsidRPr="003A57CB">
        <w:rPr>
          <w:sz w:val="14"/>
          <w:szCs w:val="14"/>
        </w:rPr>
        <w:tab/>
      </w:r>
    </w:p>
    <w:p w:rsidR="009F54F1" w:rsidRDefault="009869AF">
      <w:pPr>
        <w:rPr>
          <w:b/>
          <w:sz w:val="14"/>
          <w:szCs w:val="14"/>
        </w:rPr>
      </w:pPr>
      <w:r w:rsidRPr="009869AF">
        <w:rPr>
          <w:b/>
          <w:noProof/>
          <w:sz w:val="14"/>
          <w:szCs w:val="14"/>
        </w:rPr>
        <w:drawing>
          <wp:inline distT="0" distB="0" distL="0" distR="0">
            <wp:extent cx="5972810" cy="2734945"/>
            <wp:effectExtent l="0" t="0" r="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sectPr w:rsidR="009F54F1" w:rsidSect="00432DF5">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E81403"/>
    <w:multiLevelType w:val="hybridMultilevel"/>
    <w:tmpl w:val="EB28E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D0F6CB7"/>
    <w:multiLevelType w:val="hybridMultilevel"/>
    <w:tmpl w:val="EF66A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D23355"/>
    <w:rsid w:val="00026001"/>
    <w:rsid w:val="000701FD"/>
    <w:rsid w:val="000D18BE"/>
    <w:rsid w:val="00113AD5"/>
    <w:rsid w:val="001E5A63"/>
    <w:rsid w:val="001F15FC"/>
    <w:rsid w:val="001F7633"/>
    <w:rsid w:val="00212CD0"/>
    <w:rsid w:val="00233BD5"/>
    <w:rsid w:val="002D3E19"/>
    <w:rsid w:val="00357954"/>
    <w:rsid w:val="003641B3"/>
    <w:rsid w:val="003A57CB"/>
    <w:rsid w:val="003C5DE5"/>
    <w:rsid w:val="003E4EC1"/>
    <w:rsid w:val="00405C23"/>
    <w:rsid w:val="0041040D"/>
    <w:rsid w:val="00432DF5"/>
    <w:rsid w:val="00445DB0"/>
    <w:rsid w:val="0046567B"/>
    <w:rsid w:val="004C636E"/>
    <w:rsid w:val="00500648"/>
    <w:rsid w:val="00510282"/>
    <w:rsid w:val="00526414"/>
    <w:rsid w:val="005405F5"/>
    <w:rsid w:val="00574C38"/>
    <w:rsid w:val="005C53F8"/>
    <w:rsid w:val="005D1B77"/>
    <w:rsid w:val="006020BD"/>
    <w:rsid w:val="006241BA"/>
    <w:rsid w:val="006C6552"/>
    <w:rsid w:val="006D41B5"/>
    <w:rsid w:val="0070186C"/>
    <w:rsid w:val="0070700B"/>
    <w:rsid w:val="00714580"/>
    <w:rsid w:val="00731B2B"/>
    <w:rsid w:val="007441EB"/>
    <w:rsid w:val="00755EFC"/>
    <w:rsid w:val="007736BE"/>
    <w:rsid w:val="00773BC6"/>
    <w:rsid w:val="00797EBE"/>
    <w:rsid w:val="00817D01"/>
    <w:rsid w:val="008269E0"/>
    <w:rsid w:val="00853A88"/>
    <w:rsid w:val="008C2C15"/>
    <w:rsid w:val="008D1077"/>
    <w:rsid w:val="009869AF"/>
    <w:rsid w:val="009F54F1"/>
    <w:rsid w:val="00A347FE"/>
    <w:rsid w:val="00A4796F"/>
    <w:rsid w:val="00A77365"/>
    <w:rsid w:val="00AD2065"/>
    <w:rsid w:val="00B40175"/>
    <w:rsid w:val="00B452A7"/>
    <w:rsid w:val="00B80CFF"/>
    <w:rsid w:val="00BC294E"/>
    <w:rsid w:val="00BC5F10"/>
    <w:rsid w:val="00C05F0D"/>
    <w:rsid w:val="00C144CC"/>
    <w:rsid w:val="00C21D8B"/>
    <w:rsid w:val="00C23FFF"/>
    <w:rsid w:val="00C97D83"/>
    <w:rsid w:val="00CA0CAC"/>
    <w:rsid w:val="00CC7D5F"/>
    <w:rsid w:val="00D2299D"/>
    <w:rsid w:val="00D23355"/>
    <w:rsid w:val="00DC5FDC"/>
    <w:rsid w:val="00DE7934"/>
    <w:rsid w:val="00E50C57"/>
    <w:rsid w:val="00E65D11"/>
    <w:rsid w:val="00EE33A7"/>
    <w:rsid w:val="00EF4E45"/>
    <w:rsid w:val="00F6200C"/>
    <w:rsid w:val="00FE79F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simYazs">
    <w:name w:val="caption"/>
    <w:basedOn w:val="Normal"/>
    <w:next w:val="Normal"/>
    <w:uiPriority w:val="35"/>
    <w:semiHidden/>
    <w:unhideWhenUsed/>
    <w:qFormat/>
    <w:rsid w:val="00405C23"/>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364790153">
      <w:bodyDiv w:val="1"/>
      <w:marLeft w:val="0"/>
      <w:marRight w:val="0"/>
      <w:marTop w:val="0"/>
      <w:marBottom w:val="0"/>
      <w:divBdr>
        <w:top w:val="none" w:sz="0" w:space="0" w:color="auto"/>
        <w:left w:val="none" w:sz="0" w:space="0" w:color="auto"/>
        <w:bottom w:val="none" w:sz="0" w:space="0" w:color="auto"/>
        <w:right w:val="none" w:sz="0" w:space="0" w:color="auto"/>
      </w:divBdr>
    </w:div>
    <w:div w:id="95710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Excel__al__ma_Sayfas_1.xlsx"/><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shibaL2\Desktop\Yeni%20Microsoft%20Office%20Excel%20&#199;al&#305;&#351;ma%20Sayfas&#30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oshibaL2\Desktop\Yeni%20Microsoft%20Office%20Excel%20&#199;al&#305;&#351;ma%20Sayfas&#3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tr-TR"/>
  <c:chart>
    <c:autoTitleDeleted val="1"/>
    <c:plotArea>
      <c:layout/>
      <c:lineChart>
        <c:grouping val="standard"/>
        <c:ser>
          <c:idx val="0"/>
          <c:order val="0"/>
          <c:tx>
            <c:strRef>
              <c:f>Sayfa1!$D$8</c:f>
              <c:strCache>
                <c:ptCount val="1"/>
                <c:pt idx="0">
                  <c:v>Yıllık Enflasyon</c:v>
                </c:pt>
              </c:strCache>
            </c:strRef>
          </c:tx>
          <c:marker>
            <c:symbol val="none"/>
          </c:marker>
          <c:cat>
            <c:numRef>
              <c:f>Sayfa1!$E$7:$O$7</c:f>
              <c:numCache>
                <c:formatCode>General</c:formatCode>
                <c:ptCount val="11"/>
                <c:pt idx="0">
                  <c:v>2004</c:v>
                </c:pt>
                <c:pt idx="1">
                  <c:v>2005</c:v>
                </c:pt>
                <c:pt idx="2">
                  <c:v>2006</c:v>
                </c:pt>
                <c:pt idx="3">
                  <c:v>2007</c:v>
                </c:pt>
                <c:pt idx="4">
                  <c:v>2008</c:v>
                </c:pt>
                <c:pt idx="5">
                  <c:v>2009</c:v>
                </c:pt>
                <c:pt idx="6">
                  <c:v>2010</c:v>
                </c:pt>
                <c:pt idx="7">
                  <c:v>2011</c:v>
                </c:pt>
                <c:pt idx="8">
                  <c:v>2012</c:v>
                </c:pt>
                <c:pt idx="9">
                  <c:v>2013</c:v>
                </c:pt>
                <c:pt idx="10">
                  <c:v>2014</c:v>
                </c:pt>
              </c:numCache>
            </c:numRef>
          </c:cat>
          <c:val>
            <c:numRef>
              <c:f>Sayfa1!$E$8:$O$8</c:f>
              <c:numCache>
                <c:formatCode>0.00</c:formatCode>
                <c:ptCount val="11"/>
                <c:pt idx="0">
                  <c:v>9.3500000000000068</c:v>
                </c:pt>
                <c:pt idx="1">
                  <c:v>7.72</c:v>
                </c:pt>
                <c:pt idx="2">
                  <c:v>9.65</c:v>
                </c:pt>
                <c:pt idx="3">
                  <c:v>8.39</c:v>
                </c:pt>
                <c:pt idx="4">
                  <c:v>10.06</c:v>
                </c:pt>
                <c:pt idx="5">
                  <c:v>6.53</c:v>
                </c:pt>
                <c:pt idx="6">
                  <c:v>6.4</c:v>
                </c:pt>
                <c:pt idx="7">
                  <c:v>10.450000000000006</c:v>
                </c:pt>
                <c:pt idx="8">
                  <c:v>6.1599999999999975</c:v>
                </c:pt>
                <c:pt idx="9">
                  <c:v>7.4</c:v>
                </c:pt>
                <c:pt idx="10">
                  <c:v>8.17</c:v>
                </c:pt>
              </c:numCache>
            </c:numRef>
          </c:val>
        </c:ser>
        <c:marker val="1"/>
        <c:axId val="44822912"/>
        <c:axId val="44824448"/>
      </c:lineChart>
      <c:catAx>
        <c:axId val="44822912"/>
        <c:scaling>
          <c:orientation val="minMax"/>
        </c:scaling>
        <c:axPos val="b"/>
        <c:numFmt formatCode="General" sourceLinked="1"/>
        <c:majorTickMark val="none"/>
        <c:tickLblPos val="nextTo"/>
        <c:crossAx val="44824448"/>
        <c:crosses val="autoZero"/>
        <c:auto val="1"/>
        <c:lblAlgn val="ctr"/>
        <c:lblOffset val="100"/>
      </c:catAx>
      <c:valAx>
        <c:axId val="44824448"/>
        <c:scaling>
          <c:orientation val="minMax"/>
        </c:scaling>
        <c:axPos val="l"/>
        <c:majorGridlines/>
        <c:numFmt formatCode="0.00" sourceLinked="1"/>
        <c:majorTickMark val="none"/>
        <c:tickLblPos val="nextTo"/>
        <c:crossAx val="44822912"/>
        <c:crosses val="autoZero"/>
        <c:crossBetween val="between"/>
      </c:valAx>
      <c:dTable>
        <c:showHorzBorder val="1"/>
        <c:showVertBorder val="1"/>
        <c:showOutline val="1"/>
        <c:showKeys val="1"/>
      </c:dTable>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tr-TR"/>
  <c:chart>
    <c:autoTitleDeleted val="1"/>
    <c:plotArea>
      <c:layout/>
      <c:lineChart>
        <c:grouping val="standard"/>
        <c:ser>
          <c:idx val="0"/>
          <c:order val="0"/>
          <c:tx>
            <c:strRef>
              <c:f>Sayfa1!$A$6</c:f>
              <c:strCache>
                <c:ptCount val="1"/>
                <c:pt idx="0">
                  <c:v>Aylık Enflasyon Değişimi</c:v>
                </c:pt>
              </c:strCache>
            </c:strRef>
          </c:tx>
          <c:marker>
            <c:symbol val="none"/>
          </c:marker>
          <c:cat>
            <c:strRef>
              <c:f>Sayfa1!$B$5:$M$5</c:f>
              <c:strCache>
                <c:ptCount val="12"/>
                <c:pt idx="0">
                  <c:v>Nisan</c:v>
                </c:pt>
                <c:pt idx="1">
                  <c:v>Mayıs</c:v>
                </c:pt>
                <c:pt idx="2">
                  <c:v>Haziran</c:v>
                </c:pt>
                <c:pt idx="3">
                  <c:v>Temmuz</c:v>
                </c:pt>
                <c:pt idx="4">
                  <c:v>Ağustos</c:v>
                </c:pt>
                <c:pt idx="5">
                  <c:v>Eylül</c:v>
                </c:pt>
                <c:pt idx="6">
                  <c:v>Ekim</c:v>
                </c:pt>
                <c:pt idx="7">
                  <c:v>Kasım</c:v>
                </c:pt>
                <c:pt idx="8">
                  <c:v>Aralık</c:v>
                </c:pt>
                <c:pt idx="9">
                  <c:v>Ocak</c:v>
                </c:pt>
                <c:pt idx="10">
                  <c:v>Şubat</c:v>
                </c:pt>
                <c:pt idx="11">
                  <c:v>Mart</c:v>
                </c:pt>
              </c:strCache>
            </c:strRef>
          </c:cat>
          <c:val>
            <c:numRef>
              <c:f>Sayfa1!$B$6:$M$6</c:f>
              <c:numCache>
                <c:formatCode>General</c:formatCode>
                <c:ptCount val="12"/>
                <c:pt idx="0">
                  <c:v>1.34</c:v>
                </c:pt>
                <c:pt idx="1">
                  <c:v>0.4</c:v>
                </c:pt>
                <c:pt idx="2">
                  <c:v>0.31000000000000016</c:v>
                </c:pt>
                <c:pt idx="3">
                  <c:v>0.45</c:v>
                </c:pt>
                <c:pt idx="4">
                  <c:v>9.0000000000000024E-2</c:v>
                </c:pt>
                <c:pt idx="5">
                  <c:v>0.14000000000000001</c:v>
                </c:pt>
                <c:pt idx="6">
                  <c:v>1.9000000000000001</c:v>
                </c:pt>
                <c:pt idx="7">
                  <c:v>0.18000000000000008</c:v>
                </c:pt>
                <c:pt idx="8">
                  <c:v>-0.44</c:v>
                </c:pt>
                <c:pt idx="9">
                  <c:v>1.1000000000000001</c:v>
                </c:pt>
                <c:pt idx="10">
                  <c:v>0.70000000000000029</c:v>
                </c:pt>
                <c:pt idx="11">
                  <c:v>1.1900000000000006</c:v>
                </c:pt>
              </c:numCache>
            </c:numRef>
          </c:val>
        </c:ser>
        <c:marker val="1"/>
        <c:axId val="74911744"/>
        <c:axId val="74915200"/>
      </c:lineChart>
      <c:catAx>
        <c:axId val="74911744"/>
        <c:scaling>
          <c:orientation val="minMax"/>
        </c:scaling>
        <c:axPos val="b"/>
        <c:majorTickMark val="none"/>
        <c:tickLblPos val="nextTo"/>
        <c:crossAx val="74915200"/>
        <c:crosses val="autoZero"/>
        <c:auto val="1"/>
        <c:lblAlgn val="ctr"/>
        <c:lblOffset val="100"/>
      </c:catAx>
      <c:valAx>
        <c:axId val="74915200"/>
        <c:scaling>
          <c:orientation val="minMax"/>
        </c:scaling>
        <c:axPos val="l"/>
        <c:majorGridlines/>
        <c:numFmt formatCode="General" sourceLinked="1"/>
        <c:majorTickMark val="none"/>
        <c:tickLblPos val="nextTo"/>
        <c:crossAx val="74911744"/>
        <c:crosses val="autoZero"/>
        <c:crossBetween val="between"/>
      </c:valAx>
      <c:dTable>
        <c:showHorzBorder val="1"/>
        <c:showVertBorder val="1"/>
        <c:showOutline val="1"/>
        <c:showKeys val="1"/>
      </c:dTable>
    </c:plotArea>
    <c:plotVisOnly val="1"/>
  </c:chart>
  <c:spPr>
    <a:ln>
      <a:noFill/>
    </a:ln>
  </c:spPr>
  <c:externalData r:id="rId1"/>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E0DD8C-FDDD-4227-A772-488E3EE1B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434</Words>
  <Characters>2480</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 ZEN 17</cp:lastModifiedBy>
  <cp:revision>5</cp:revision>
  <dcterms:created xsi:type="dcterms:W3CDTF">2015-04-06T14:39:00Z</dcterms:created>
  <dcterms:modified xsi:type="dcterms:W3CDTF">2015-04-06T14:43:00Z</dcterms:modified>
</cp:coreProperties>
</file>