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8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501"/>
        <w:gridCol w:w="3797"/>
      </w:tblGrid>
      <w:tr w:rsidR="005B1BF7" w:rsidTr="00573292">
        <w:trPr>
          <w:trHeight w:val="915"/>
        </w:trPr>
        <w:tc>
          <w:tcPr>
            <w:tcW w:w="5501" w:type="dxa"/>
            <w:vAlign w:val="center"/>
          </w:tcPr>
          <w:p w:rsidR="005B1BF7" w:rsidRDefault="00020CDC" w:rsidP="00912B49">
            <w:pPr>
              <w:pStyle w:val="stbilgi"/>
              <w:jc w:val="both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5B1BF7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0A458B">
              <w:rPr>
                <w:rFonts w:asciiTheme="majorHAnsi" w:eastAsiaTheme="majorEastAsia" w:hAnsiTheme="majorHAnsi" w:cstheme="majorBidi"/>
                <w:sz w:val="36"/>
                <w:szCs w:val="36"/>
              </w:rPr>
              <w:t>NİSAN</w:t>
            </w:r>
          </w:p>
          <w:p w:rsidR="005B1BF7" w:rsidRDefault="00F56154" w:rsidP="00912B49">
            <w:pPr>
              <w:pStyle w:val="stbilgi"/>
              <w:jc w:val="both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TÜKETİCİ GÜVEN ENDEKSİ</w:t>
            </w:r>
          </w:p>
        </w:tc>
        <w:tc>
          <w:tcPr>
            <w:tcW w:w="3797" w:type="dxa"/>
          </w:tcPr>
          <w:p w:rsidR="005B1BF7" w:rsidRDefault="000A458B" w:rsidP="003D4079">
            <w:pPr>
              <w:pStyle w:val="stbilgi"/>
              <w:spacing w:line="276" w:lineRule="auto"/>
              <w:jc w:val="both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22</w:t>
            </w:r>
            <w:r w:rsidR="009577EA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Nisan</w:t>
            </w:r>
            <w:r w:rsidR="009577EA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5B1BF7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5B1BF7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 wp14:anchorId="15B87469" wp14:editId="60568BE7">
                  <wp:extent cx="892754" cy="533400"/>
                  <wp:effectExtent l="0" t="0" r="0" b="0"/>
                  <wp:docPr id="3" name="Resim 3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1BF7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5B1BF7" w:rsidRDefault="005B1BF7" w:rsidP="00912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6245E5" w:rsidRPr="00586863" w:rsidRDefault="000A458B" w:rsidP="00912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Nisan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1FB">
        <w:rPr>
          <w:rFonts w:ascii="Times New Roman" w:hAnsi="Times New Roman" w:cs="Times New Roman"/>
          <w:b/>
          <w:sz w:val="24"/>
          <w:szCs w:val="24"/>
        </w:rPr>
        <w:t>2015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Tüketici Güven Endeksi’ne ilişkin veriler Türkiye İstatistik Kurumu (TÜİK) tarafından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E402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Nisan</w:t>
      </w:r>
      <w:r w:rsidR="009577EA">
        <w:rPr>
          <w:rFonts w:ascii="Times New Roman" w:hAnsi="Times New Roman" w:cs="Times New Roman"/>
          <w:b/>
          <w:sz w:val="24"/>
          <w:szCs w:val="24"/>
        </w:rPr>
        <w:t xml:space="preserve"> 2015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tarihinde yayımlandı.</w:t>
      </w:r>
    </w:p>
    <w:p w:rsidR="00586863" w:rsidRPr="00586863" w:rsidRDefault="006245E5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 w:rsidRPr="00586863">
        <w:rPr>
          <w:rFonts w:ascii="Times New Roman" w:hAnsi="Times New Roman" w:cs="Times New Roman"/>
          <w:sz w:val="24"/>
          <w:szCs w:val="24"/>
        </w:rPr>
        <w:t xml:space="preserve">TÜİK tarafından aylık yayımlanan Tüketici Güven Endeksi, tüketicilerin yakın gelecekte yapılması planlanan harcama ve </w:t>
      </w:r>
      <w:r w:rsidR="00586863" w:rsidRPr="00586863">
        <w:rPr>
          <w:rFonts w:ascii="Times New Roman" w:hAnsi="Times New Roman" w:cs="Times New Roman"/>
          <w:sz w:val="24"/>
          <w:szCs w:val="24"/>
        </w:rPr>
        <w:t>tasarruflarına ilişkin eğilimler</w:t>
      </w:r>
      <w:r w:rsidR="00586863">
        <w:rPr>
          <w:rFonts w:ascii="Times New Roman" w:hAnsi="Times New Roman" w:cs="Times New Roman"/>
          <w:sz w:val="24"/>
          <w:szCs w:val="24"/>
        </w:rPr>
        <w:t>i</w:t>
      </w:r>
      <w:r w:rsidR="00586863" w:rsidRPr="00586863">
        <w:rPr>
          <w:rFonts w:ascii="Times New Roman" w:hAnsi="Times New Roman" w:cs="Times New Roman"/>
          <w:sz w:val="24"/>
          <w:szCs w:val="24"/>
        </w:rPr>
        <w:t xml:space="preserve"> hakkında bilgi vermektedir.</w:t>
      </w:r>
    </w:p>
    <w:p w:rsidR="00586863" w:rsidRDefault="00586863" w:rsidP="00912B49">
      <w:pPr>
        <w:pStyle w:val="Balk2"/>
        <w:jc w:val="both"/>
      </w:pPr>
      <w:r w:rsidRPr="00586863">
        <w:t xml:space="preserve">Tüketici Güven Endeksi bir önceki aya göre </w:t>
      </w:r>
      <w:r w:rsidR="00F642FF">
        <w:t>sınırlı bir artış</w:t>
      </w:r>
      <w:r w:rsidR="004E7EAF">
        <w:t xml:space="preserve"> sergilemiştir</w:t>
      </w:r>
      <w:r w:rsidRPr="00586863">
        <w:t>.</w:t>
      </w:r>
    </w:p>
    <w:p w:rsidR="00586863" w:rsidRDefault="003037E9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586863">
        <w:rPr>
          <w:rFonts w:ascii="Times New Roman" w:hAnsi="Times New Roman" w:cs="Times New Roman"/>
          <w:sz w:val="24"/>
          <w:szCs w:val="24"/>
        </w:rPr>
        <w:t xml:space="preserve"> </w:t>
      </w:r>
      <w:r w:rsidR="000A458B">
        <w:rPr>
          <w:rFonts w:ascii="Times New Roman" w:hAnsi="Times New Roman" w:cs="Times New Roman"/>
          <w:sz w:val="24"/>
          <w:szCs w:val="24"/>
        </w:rPr>
        <w:t>Mart</w:t>
      </w:r>
      <w:r w:rsidR="00586863">
        <w:rPr>
          <w:rFonts w:ascii="Times New Roman" w:hAnsi="Times New Roman" w:cs="Times New Roman"/>
          <w:sz w:val="24"/>
          <w:szCs w:val="24"/>
        </w:rPr>
        <w:t xml:space="preserve"> ayında </w:t>
      </w:r>
      <w:r w:rsidR="00095ABD">
        <w:rPr>
          <w:rFonts w:ascii="Times New Roman" w:hAnsi="Times New Roman" w:cs="Times New Roman"/>
          <w:sz w:val="24"/>
          <w:szCs w:val="24"/>
        </w:rPr>
        <w:t xml:space="preserve">64.39 </w:t>
      </w:r>
      <w:r w:rsidR="00586863">
        <w:rPr>
          <w:rFonts w:ascii="Times New Roman" w:hAnsi="Times New Roman" w:cs="Times New Roman"/>
          <w:sz w:val="24"/>
          <w:szCs w:val="24"/>
        </w:rPr>
        <w:t xml:space="preserve">olan Tüketici Güven Endeksi, </w:t>
      </w:r>
      <w:r w:rsidR="000A458B">
        <w:rPr>
          <w:rFonts w:ascii="Times New Roman" w:hAnsi="Times New Roman" w:cs="Times New Roman"/>
          <w:sz w:val="24"/>
          <w:szCs w:val="24"/>
        </w:rPr>
        <w:t>Nisan</w:t>
      </w:r>
      <w:r w:rsidR="00586863">
        <w:rPr>
          <w:rFonts w:ascii="Times New Roman" w:hAnsi="Times New Roman" w:cs="Times New Roman"/>
          <w:sz w:val="24"/>
          <w:szCs w:val="24"/>
        </w:rPr>
        <w:t xml:space="preserve"> ayında </w:t>
      </w:r>
      <w:r w:rsidR="00095ABD">
        <w:rPr>
          <w:rFonts w:ascii="Times New Roman" w:hAnsi="Times New Roman" w:cs="Times New Roman"/>
          <w:sz w:val="24"/>
          <w:szCs w:val="24"/>
        </w:rPr>
        <w:t>0.96</w:t>
      </w:r>
      <w:r w:rsidR="009577EA">
        <w:rPr>
          <w:rFonts w:ascii="Times New Roman" w:hAnsi="Times New Roman" w:cs="Times New Roman"/>
          <w:sz w:val="24"/>
          <w:szCs w:val="24"/>
        </w:rPr>
        <w:t xml:space="preserve"> </w:t>
      </w:r>
      <w:r w:rsidR="00586863">
        <w:rPr>
          <w:rFonts w:ascii="Times New Roman" w:hAnsi="Times New Roman" w:cs="Times New Roman"/>
          <w:sz w:val="24"/>
          <w:szCs w:val="24"/>
        </w:rPr>
        <w:t xml:space="preserve">puan </w:t>
      </w:r>
      <w:r w:rsidR="003F6E65">
        <w:rPr>
          <w:rFonts w:ascii="Times New Roman" w:hAnsi="Times New Roman" w:cs="Times New Roman"/>
          <w:sz w:val="24"/>
          <w:szCs w:val="24"/>
        </w:rPr>
        <w:t>artarak</w:t>
      </w:r>
      <w:r w:rsidR="00586863">
        <w:rPr>
          <w:rFonts w:ascii="Times New Roman" w:hAnsi="Times New Roman" w:cs="Times New Roman"/>
          <w:sz w:val="24"/>
          <w:szCs w:val="24"/>
        </w:rPr>
        <w:t xml:space="preserve"> </w:t>
      </w:r>
      <w:r w:rsidR="00095ABD">
        <w:rPr>
          <w:rFonts w:ascii="Times New Roman" w:hAnsi="Times New Roman" w:cs="Times New Roman"/>
          <w:sz w:val="24"/>
          <w:szCs w:val="24"/>
        </w:rPr>
        <w:t xml:space="preserve">65.35 </w:t>
      </w:r>
      <w:r w:rsidR="00AF36C5">
        <w:rPr>
          <w:rFonts w:ascii="Times New Roman" w:hAnsi="Times New Roman" w:cs="Times New Roman"/>
          <w:sz w:val="24"/>
          <w:szCs w:val="24"/>
        </w:rPr>
        <w:t xml:space="preserve">seviyesine </w:t>
      </w:r>
      <w:r w:rsidR="00095ABD">
        <w:rPr>
          <w:rFonts w:ascii="Times New Roman" w:hAnsi="Times New Roman" w:cs="Times New Roman"/>
          <w:sz w:val="24"/>
          <w:szCs w:val="24"/>
        </w:rPr>
        <w:t>yükselmiştir</w:t>
      </w:r>
      <w:r w:rsidR="003D40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B49">
        <w:rPr>
          <w:rFonts w:ascii="Times New Roman" w:hAnsi="Times New Roman" w:cs="Times New Roman"/>
          <w:sz w:val="24"/>
          <w:szCs w:val="24"/>
        </w:rPr>
        <w:t xml:space="preserve">Böylelikle, </w:t>
      </w:r>
      <w:r w:rsidR="003D4079">
        <w:rPr>
          <w:rFonts w:ascii="Times New Roman" w:hAnsi="Times New Roman" w:cs="Times New Roman"/>
          <w:sz w:val="24"/>
          <w:szCs w:val="24"/>
        </w:rPr>
        <w:t>geçtiğimiz ay</w:t>
      </w:r>
      <w:r w:rsidR="00912B49">
        <w:rPr>
          <w:rFonts w:ascii="Times New Roman" w:hAnsi="Times New Roman" w:cs="Times New Roman"/>
          <w:sz w:val="24"/>
          <w:szCs w:val="24"/>
        </w:rPr>
        <w:t xml:space="preserve"> gösterdiği </w:t>
      </w:r>
      <w:r w:rsidR="00095ABD">
        <w:rPr>
          <w:rFonts w:ascii="Times New Roman" w:hAnsi="Times New Roman" w:cs="Times New Roman"/>
          <w:sz w:val="24"/>
          <w:szCs w:val="24"/>
        </w:rPr>
        <w:t>düşüşün</w:t>
      </w:r>
      <w:r w:rsidR="00912B49">
        <w:rPr>
          <w:rFonts w:ascii="Times New Roman" w:hAnsi="Times New Roman" w:cs="Times New Roman"/>
          <w:sz w:val="24"/>
          <w:szCs w:val="24"/>
        </w:rPr>
        <w:t xml:space="preserve"> ardından</w:t>
      </w:r>
      <w:r w:rsidR="002C6F9B">
        <w:rPr>
          <w:rFonts w:ascii="Times New Roman" w:hAnsi="Times New Roman" w:cs="Times New Roman"/>
          <w:sz w:val="24"/>
          <w:szCs w:val="24"/>
        </w:rPr>
        <w:t xml:space="preserve"> yeniden</w:t>
      </w:r>
      <w:r w:rsidR="00912B49">
        <w:rPr>
          <w:rFonts w:ascii="Times New Roman" w:hAnsi="Times New Roman" w:cs="Times New Roman"/>
          <w:sz w:val="24"/>
          <w:szCs w:val="24"/>
        </w:rPr>
        <w:t xml:space="preserve"> </w:t>
      </w:r>
      <w:r w:rsidR="00095ABD">
        <w:rPr>
          <w:rFonts w:ascii="Times New Roman" w:hAnsi="Times New Roman" w:cs="Times New Roman"/>
          <w:sz w:val="24"/>
          <w:szCs w:val="24"/>
        </w:rPr>
        <w:t>sınırlı bir yükselme</w:t>
      </w:r>
      <w:r w:rsidR="003D4079">
        <w:rPr>
          <w:rFonts w:ascii="Times New Roman" w:hAnsi="Times New Roman" w:cs="Times New Roman"/>
          <w:sz w:val="24"/>
          <w:szCs w:val="24"/>
        </w:rPr>
        <w:t xml:space="preserve"> eğilimi göstermiştir</w:t>
      </w:r>
      <w:r w:rsidR="00912B49">
        <w:rPr>
          <w:rFonts w:ascii="Times New Roman" w:hAnsi="Times New Roman" w:cs="Times New Roman"/>
          <w:sz w:val="24"/>
          <w:szCs w:val="24"/>
        </w:rPr>
        <w:t>.</w:t>
      </w:r>
      <w:r w:rsidR="00AF36C5">
        <w:rPr>
          <w:rFonts w:ascii="Times New Roman" w:hAnsi="Times New Roman" w:cs="Times New Roman"/>
          <w:sz w:val="24"/>
          <w:szCs w:val="24"/>
        </w:rPr>
        <w:t xml:space="preserve"> </w:t>
      </w:r>
      <w:r w:rsidR="003D4079">
        <w:rPr>
          <w:rFonts w:ascii="Times New Roman" w:hAnsi="Times New Roman" w:cs="Times New Roman"/>
          <w:sz w:val="24"/>
          <w:szCs w:val="24"/>
        </w:rPr>
        <w:t xml:space="preserve"> </w:t>
      </w:r>
      <w:r w:rsidR="00AF36C5">
        <w:rPr>
          <w:rFonts w:ascii="Times New Roman" w:hAnsi="Times New Roman" w:cs="Times New Roman"/>
          <w:sz w:val="24"/>
          <w:szCs w:val="24"/>
        </w:rPr>
        <w:t xml:space="preserve">Bir önceki yılın aynı dönemine göre ise </w:t>
      </w:r>
      <w:r w:rsidR="00A26AA6">
        <w:rPr>
          <w:rFonts w:ascii="Times New Roman" w:hAnsi="Times New Roman" w:cs="Times New Roman"/>
          <w:sz w:val="24"/>
          <w:szCs w:val="24"/>
        </w:rPr>
        <w:t>13.15</w:t>
      </w:r>
      <w:r w:rsidR="003D4079">
        <w:rPr>
          <w:rFonts w:ascii="Times New Roman" w:hAnsi="Times New Roman" w:cs="Times New Roman"/>
          <w:sz w:val="24"/>
          <w:szCs w:val="24"/>
        </w:rPr>
        <w:t xml:space="preserve"> </w:t>
      </w:r>
      <w:r w:rsidR="00AF36C5">
        <w:rPr>
          <w:rFonts w:ascii="Times New Roman" w:hAnsi="Times New Roman" w:cs="Times New Roman"/>
          <w:sz w:val="24"/>
          <w:szCs w:val="24"/>
        </w:rPr>
        <w:t>puan azalış göstermiştir.</w:t>
      </w:r>
    </w:p>
    <w:p w:rsidR="00B2176E" w:rsidRDefault="00B2176E" w:rsidP="00912B49">
      <w:pPr>
        <w:pStyle w:val="ResimYazs"/>
        <w:keepNext/>
        <w:jc w:val="both"/>
      </w:pPr>
      <w:r>
        <w:t xml:space="preserve">Şekil </w:t>
      </w:r>
      <w:r w:rsidR="00866148">
        <w:fldChar w:fldCharType="begin"/>
      </w:r>
      <w:r w:rsidR="009A24D6">
        <w:instrText xml:space="preserve"> SEQ Şekil \* ARABIC </w:instrText>
      </w:r>
      <w:r w:rsidR="00866148">
        <w:fldChar w:fldCharType="separate"/>
      </w:r>
      <w:r w:rsidR="00F642FF">
        <w:rPr>
          <w:noProof/>
        </w:rPr>
        <w:t>1</w:t>
      </w:r>
      <w:r w:rsidR="00866148">
        <w:rPr>
          <w:noProof/>
        </w:rPr>
        <w:fldChar w:fldCharType="end"/>
      </w:r>
      <w:r>
        <w:t>: Tüketici Güven En</w:t>
      </w:r>
      <w:r w:rsidR="008D482D">
        <w:t>deksi (</w:t>
      </w:r>
      <w:r w:rsidR="00F9707B">
        <w:t>Ocak</w:t>
      </w:r>
      <w:r w:rsidR="009577EA">
        <w:t xml:space="preserve"> 2014</w:t>
      </w:r>
      <w:r>
        <w:t>-</w:t>
      </w:r>
      <w:r w:rsidR="000A458B">
        <w:t>Nisan</w:t>
      </w:r>
      <w:r w:rsidR="009577EA">
        <w:t xml:space="preserve"> 2015</w:t>
      </w:r>
      <w:r>
        <w:t>)</w:t>
      </w:r>
    </w:p>
    <w:p w:rsidR="00AF36C5" w:rsidRDefault="00B2176E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7952824" wp14:editId="0031994A">
            <wp:extent cx="6047117" cy="32004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D5DFE" w:rsidRDefault="00CF66DE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Tüketici Güven Endeks</w:t>
      </w:r>
      <w:r w:rsidR="00912B49">
        <w:rPr>
          <w:rFonts w:ascii="Times New Roman" w:hAnsi="Times New Roman" w:cs="Times New Roman"/>
          <w:sz w:val="24"/>
          <w:szCs w:val="24"/>
        </w:rPr>
        <w:t>i alt kalemlerindeki değişime bir önceki a</w:t>
      </w:r>
      <w:r w:rsidR="004F4715">
        <w:rPr>
          <w:rFonts w:ascii="Times New Roman" w:hAnsi="Times New Roman" w:cs="Times New Roman"/>
          <w:sz w:val="24"/>
          <w:szCs w:val="24"/>
        </w:rPr>
        <w:t>ya göre bakıldığında</w:t>
      </w:r>
      <w:r w:rsidR="00BD2522">
        <w:rPr>
          <w:rFonts w:ascii="Times New Roman" w:hAnsi="Times New Roman" w:cs="Times New Roman"/>
          <w:sz w:val="24"/>
          <w:szCs w:val="24"/>
        </w:rPr>
        <w:t xml:space="preserve">, </w:t>
      </w:r>
      <w:r w:rsidR="004F4715">
        <w:rPr>
          <w:rFonts w:ascii="Times New Roman" w:hAnsi="Times New Roman" w:cs="Times New Roman"/>
          <w:sz w:val="24"/>
          <w:szCs w:val="24"/>
        </w:rPr>
        <w:t>gelecek 12</w:t>
      </w:r>
      <w:r w:rsidR="00912B49">
        <w:rPr>
          <w:rFonts w:ascii="Times New Roman" w:hAnsi="Times New Roman" w:cs="Times New Roman"/>
          <w:sz w:val="24"/>
          <w:szCs w:val="24"/>
        </w:rPr>
        <w:t xml:space="preserve"> ay için hanenin maddi durum beklentisinin (</w:t>
      </w:r>
      <w:r w:rsidR="00A26AA6">
        <w:rPr>
          <w:rFonts w:ascii="Times New Roman" w:hAnsi="Times New Roman" w:cs="Times New Roman"/>
          <w:sz w:val="24"/>
          <w:szCs w:val="24"/>
        </w:rPr>
        <w:t xml:space="preserve">0.79 </w:t>
      </w:r>
      <w:r w:rsidR="00912B49">
        <w:rPr>
          <w:rFonts w:ascii="Times New Roman" w:hAnsi="Times New Roman" w:cs="Times New Roman"/>
          <w:sz w:val="24"/>
          <w:szCs w:val="24"/>
        </w:rPr>
        <w:t xml:space="preserve">puan) ve </w:t>
      </w:r>
      <w:r w:rsidR="009C12C4">
        <w:rPr>
          <w:rFonts w:ascii="Times New Roman" w:hAnsi="Times New Roman" w:cs="Times New Roman"/>
          <w:sz w:val="24"/>
          <w:szCs w:val="24"/>
        </w:rPr>
        <w:t>işsiz sayısı</w:t>
      </w:r>
      <w:r>
        <w:rPr>
          <w:rFonts w:ascii="Times New Roman" w:hAnsi="Times New Roman" w:cs="Times New Roman"/>
          <w:sz w:val="24"/>
          <w:szCs w:val="24"/>
        </w:rPr>
        <w:t xml:space="preserve"> beklentisi</w:t>
      </w:r>
      <w:r w:rsidR="00912B49">
        <w:rPr>
          <w:rFonts w:ascii="Times New Roman" w:hAnsi="Times New Roman" w:cs="Times New Roman"/>
          <w:sz w:val="24"/>
          <w:szCs w:val="24"/>
        </w:rPr>
        <w:t>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B49">
        <w:rPr>
          <w:rFonts w:ascii="Times New Roman" w:hAnsi="Times New Roman" w:cs="Times New Roman"/>
          <w:sz w:val="24"/>
          <w:szCs w:val="24"/>
        </w:rPr>
        <w:t>(</w:t>
      </w:r>
      <w:r w:rsidR="009C12C4">
        <w:rPr>
          <w:rFonts w:ascii="Times New Roman" w:hAnsi="Times New Roman" w:cs="Times New Roman"/>
          <w:sz w:val="24"/>
          <w:szCs w:val="24"/>
        </w:rPr>
        <w:t>1.47 puan ) iyileştiği</w:t>
      </w:r>
      <w:r w:rsidR="00BD2522">
        <w:rPr>
          <w:rFonts w:ascii="Times New Roman" w:hAnsi="Times New Roman" w:cs="Times New Roman"/>
          <w:sz w:val="24"/>
          <w:szCs w:val="24"/>
        </w:rPr>
        <w:t>,</w:t>
      </w:r>
      <w:r w:rsidR="004E7EAF">
        <w:rPr>
          <w:rFonts w:ascii="Times New Roman" w:hAnsi="Times New Roman" w:cs="Times New Roman"/>
          <w:sz w:val="24"/>
          <w:szCs w:val="24"/>
        </w:rPr>
        <w:t xml:space="preserve"> b</w:t>
      </w:r>
      <w:r w:rsidR="00912B49">
        <w:rPr>
          <w:rFonts w:ascii="Times New Roman" w:hAnsi="Times New Roman" w:cs="Times New Roman"/>
          <w:sz w:val="24"/>
          <w:szCs w:val="24"/>
        </w:rPr>
        <w:t>u beklentiler</w:t>
      </w:r>
      <w:r w:rsidR="00344B2B">
        <w:rPr>
          <w:rFonts w:ascii="Times New Roman" w:hAnsi="Times New Roman" w:cs="Times New Roman"/>
          <w:sz w:val="24"/>
          <w:szCs w:val="24"/>
        </w:rPr>
        <w:t>in</w:t>
      </w:r>
      <w:r w:rsidR="00912B49">
        <w:rPr>
          <w:rFonts w:ascii="Times New Roman" w:hAnsi="Times New Roman" w:cs="Times New Roman"/>
          <w:sz w:val="24"/>
          <w:szCs w:val="24"/>
        </w:rPr>
        <w:t xml:space="preserve"> </w:t>
      </w:r>
      <w:r w:rsidR="00344B2B">
        <w:rPr>
          <w:rFonts w:ascii="Times New Roman" w:hAnsi="Times New Roman" w:cs="Times New Roman"/>
          <w:sz w:val="24"/>
          <w:szCs w:val="24"/>
        </w:rPr>
        <w:t>yanı sıra</w:t>
      </w:r>
      <w:r w:rsidR="00912B49">
        <w:rPr>
          <w:rFonts w:ascii="Times New Roman" w:hAnsi="Times New Roman" w:cs="Times New Roman"/>
          <w:sz w:val="24"/>
          <w:szCs w:val="24"/>
        </w:rPr>
        <w:t xml:space="preserve"> t</w:t>
      </w:r>
      <w:r w:rsidR="008D5DFE">
        <w:rPr>
          <w:rFonts w:ascii="Times New Roman" w:hAnsi="Times New Roman" w:cs="Times New Roman"/>
          <w:sz w:val="24"/>
          <w:szCs w:val="24"/>
        </w:rPr>
        <w:t>asarruf etme ihtimali</w:t>
      </w:r>
      <w:r w:rsidR="004E7EAF">
        <w:rPr>
          <w:rFonts w:ascii="Times New Roman" w:hAnsi="Times New Roman" w:cs="Times New Roman"/>
          <w:sz w:val="24"/>
          <w:szCs w:val="24"/>
        </w:rPr>
        <w:t>nin</w:t>
      </w:r>
      <w:r w:rsidR="008D5DFE">
        <w:rPr>
          <w:rFonts w:ascii="Times New Roman" w:hAnsi="Times New Roman" w:cs="Times New Roman"/>
          <w:sz w:val="24"/>
          <w:szCs w:val="24"/>
        </w:rPr>
        <w:t xml:space="preserve"> </w:t>
      </w:r>
      <w:r w:rsidR="00344B2B">
        <w:rPr>
          <w:rFonts w:ascii="Times New Roman" w:hAnsi="Times New Roman" w:cs="Times New Roman"/>
          <w:sz w:val="24"/>
          <w:szCs w:val="24"/>
        </w:rPr>
        <w:t xml:space="preserve">de </w:t>
      </w:r>
      <w:r w:rsidR="009C12C4">
        <w:rPr>
          <w:rFonts w:ascii="Times New Roman" w:hAnsi="Times New Roman" w:cs="Times New Roman"/>
          <w:sz w:val="24"/>
          <w:szCs w:val="24"/>
        </w:rPr>
        <w:t>1.76</w:t>
      </w:r>
      <w:r w:rsidR="00344B2B">
        <w:rPr>
          <w:rFonts w:ascii="Times New Roman" w:hAnsi="Times New Roman" w:cs="Times New Roman"/>
          <w:sz w:val="24"/>
          <w:szCs w:val="24"/>
        </w:rPr>
        <w:t xml:space="preserve"> </w:t>
      </w:r>
      <w:r w:rsidR="00912B49">
        <w:rPr>
          <w:rFonts w:ascii="Times New Roman" w:hAnsi="Times New Roman" w:cs="Times New Roman"/>
          <w:sz w:val="24"/>
          <w:szCs w:val="24"/>
        </w:rPr>
        <w:t xml:space="preserve">puan </w:t>
      </w:r>
      <w:r w:rsidR="009C12C4">
        <w:rPr>
          <w:rFonts w:ascii="Times New Roman" w:hAnsi="Times New Roman" w:cs="Times New Roman"/>
          <w:sz w:val="24"/>
          <w:szCs w:val="24"/>
        </w:rPr>
        <w:t>arttığı</w:t>
      </w:r>
      <w:r w:rsidR="00344B2B">
        <w:rPr>
          <w:rFonts w:ascii="Times New Roman" w:hAnsi="Times New Roman" w:cs="Times New Roman"/>
          <w:sz w:val="24"/>
          <w:szCs w:val="24"/>
        </w:rPr>
        <w:t xml:space="preserve"> </w:t>
      </w:r>
      <w:r w:rsidR="004E7EAF">
        <w:rPr>
          <w:rFonts w:ascii="Times New Roman" w:hAnsi="Times New Roman" w:cs="Times New Roman"/>
          <w:sz w:val="24"/>
          <w:szCs w:val="24"/>
        </w:rPr>
        <w:t>görülmektedir</w:t>
      </w:r>
      <w:r w:rsidR="00912B49">
        <w:rPr>
          <w:rFonts w:ascii="Times New Roman" w:hAnsi="Times New Roman" w:cs="Times New Roman"/>
          <w:sz w:val="24"/>
          <w:szCs w:val="24"/>
        </w:rPr>
        <w:t xml:space="preserve"> (Tablo 1).</w:t>
      </w:r>
      <w:r w:rsidR="00344B2B">
        <w:rPr>
          <w:rFonts w:ascii="Times New Roman" w:hAnsi="Times New Roman" w:cs="Times New Roman"/>
          <w:sz w:val="24"/>
          <w:szCs w:val="24"/>
        </w:rPr>
        <w:t xml:space="preserve"> </w:t>
      </w:r>
      <w:r w:rsidR="009C12C4">
        <w:rPr>
          <w:rFonts w:ascii="Times New Roman" w:hAnsi="Times New Roman" w:cs="Times New Roman"/>
          <w:sz w:val="24"/>
          <w:szCs w:val="24"/>
        </w:rPr>
        <w:t>Genel ekonomik durum</w:t>
      </w:r>
      <w:r w:rsidR="00344B2B">
        <w:rPr>
          <w:rFonts w:ascii="Times New Roman" w:hAnsi="Times New Roman" w:cs="Times New Roman"/>
          <w:sz w:val="24"/>
          <w:szCs w:val="24"/>
        </w:rPr>
        <w:t xml:space="preserve"> beklentisinde ise</w:t>
      </w:r>
      <w:r w:rsidR="004E7EAF">
        <w:rPr>
          <w:rFonts w:ascii="Times New Roman" w:hAnsi="Times New Roman" w:cs="Times New Roman"/>
          <w:sz w:val="24"/>
          <w:szCs w:val="24"/>
        </w:rPr>
        <w:t xml:space="preserve"> </w:t>
      </w:r>
      <w:r w:rsidR="009C12C4">
        <w:rPr>
          <w:rFonts w:ascii="Times New Roman" w:hAnsi="Times New Roman" w:cs="Times New Roman"/>
          <w:sz w:val="24"/>
          <w:szCs w:val="24"/>
        </w:rPr>
        <w:t>0.18</w:t>
      </w:r>
      <w:r w:rsidR="00344B2B">
        <w:rPr>
          <w:rFonts w:ascii="Times New Roman" w:hAnsi="Times New Roman" w:cs="Times New Roman"/>
          <w:sz w:val="24"/>
          <w:szCs w:val="24"/>
        </w:rPr>
        <w:t xml:space="preserve"> </w:t>
      </w:r>
      <w:r w:rsidR="004E7EAF">
        <w:rPr>
          <w:rFonts w:ascii="Times New Roman" w:hAnsi="Times New Roman" w:cs="Times New Roman"/>
          <w:sz w:val="24"/>
          <w:szCs w:val="24"/>
        </w:rPr>
        <w:t xml:space="preserve">puan </w:t>
      </w:r>
      <w:r w:rsidR="00344B2B">
        <w:rPr>
          <w:rFonts w:ascii="Times New Roman" w:hAnsi="Times New Roman" w:cs="Times New Roman"/>
          <w:sz w:val="24"/>
          <w:szCs w:val="24"/>
        </w:rPr>
        <w:t>kötüleşme</w:t>
      </w:r>
      <w:r w:rsidR="004E7EAF">
        <w:rPr>
          <w:rFonts w:ascii="Times New Roman" w:hAnsi="Times New Roman" w:cs="Times New Roman"/>
          <w:sz w:val="24"/>
          <w:szCs w:val="24"/>
        </w:rPr>
        <w:t xml:space="preserve"> yaşanmıştır.</w:t>
      </w:r>
    </w:p>
    <w:p w:rsidR="004E7EAF" w:rsidRDefault="004E7EAF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DFE" w:rsidRDefault="008D5DFE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5F8" w:rsidRDefault="007065F8" w:rsidP="00912B49">
      <w:pPr>
        <w:pStyle w:val="ResimYazs"/>
        <w:keepNext/>
        <w:jc w:val="both"/>
      </w:pPr>
      <w:r>
        <w:lastRenderedPageBreak/>
        <w:t xml:space="preserve">Tablo </w:t>
      </w:r>
      <w:r w:rsidR="00866148">
        <w:fldChar w:fldCharType="begin"/>
      </w:r>
      <w:r w:rsidR="009A24D6">
        <w:instrText xml:space="preserve"> SEQ Tablo \* ARABIC </w:instrText>
      </w:r>
      <w:r w:rsidR="00866148">
        <w:fldChar w:fldCharType="separate"/>
      </w:r>
      <w:r w:rsidR="00F642FF">
        <w:rPr>
          <w:noProof/>
        </w:rPr>
        <w:t>1</w:t>
      </w:r>
      <w:r w:rsidR="00866148">
        <w:rPr>
          <w:noProof/>
        </w:rPr>
        <w:fldChar w:fldCharType="end"/>
      </w:r>
      <w:r>
        <w:t>:Tüketici Güven Endeksi Alt Kalemleri</w:t>
      </w:r>
    </w:p>
    <w:tbl>
      <w:tblPr>
        <w:tblStyle w:val="AkGlgeleme-Vurgu11"/>
        <w:tblW w:w="8718" w:type="dxa"/>
        <w:tblLook w:val="04A0" w:firstRow="1" w:lastRow="0" w:firstColumn="1" w:lastColumn="0" w:noHBand="0" w:noVBand="1"/>
      </w:tblPr>
      <w:tblGrid>
        <w:gridCol w:w="3510"/>
        <w:gridCol w:w="1224"/>
        <w:gridCol w:w="1328"/>
        <w:gridCol w:w="1328"/>
        <w:gridCol w:w="1328"/>
      </w:tblGrid>
      <w:tr w:rsidR="004E7EAF" w:rsidRPr="00DC3CEB" w:rsidTr="004E21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noWrap/>
            <w:hideMark/>
          </w:tcPr>
          <w:p w:rsidR="004E7EAF" w:rsidRPr="00DC3CEB" w:rsidRDefault="004E7EAF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:rsidR="004E7EAF" w:rsidRPr="00DC3CEB" w:rsidRDefault="004E7EAF" w:rsidP="004E7E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  <w:tc>
          <w:tcPr>
            <w:tcW w:w="2656" w:type="dxa"/>
            <w:gridSpan w:val="2"/>
          </w:tcPr>
          <w:p w:rsidR="004E7EAF" w:rsidRDefault="004E7EAF" w:rsidP="004E7E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Değişim oranı</w:t>
            </w:r>
            <w:r w:rsidR="001871D2">
              <w:rPr>
                <w:rFonts w:ascii="Calibri" w:eastAsia="Times New Roman" w:hAnsi="Calibri" w:cs="Times New Roman"/>
                <w:color w:val="000000"/>
                <w:lang w:eastAsia="tr-TR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%</w:t>
            </w:r>
          </w:p>
        </w:tc>
      </w:tr>
      <w:tr w:rsidR="004E7EAF" w:rsidRPr="00415908" w:rsidTr="004E7E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noWrap/>
            <w:hideMark/>
          </w:tcPr>
          <w:p w:rsidR="004E7EAF" w:rsidRPr="00415908" w:rsidRDefault="004E7EAF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24" w:type="dxa"/>
            <w:noWrap/>
            <w:hideMark/>
          </w:tcPr>
          <w:p w:rsidR="004E7EAF" w:rsidRPr="00415908" w:rsidRDefault="000A458B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Mart</w:t>
            </w:r>
            <w:r w:rsidR="00BB682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.</w:t>
            </w:r>
            <w:r w:rsidR="00E53300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1328" w:type="dxa"/>
            <w:noWrap/>
            <w:hideMark/>
          </w:tcPr>
          <w:p w:rsidR="004E7EAF" w:rsidRPr="00415908" w:rsidRDefault="000A458B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Nisan</w:t>
            </w:r>
            <w:r w:rsidR="00BB6821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 xml:space="preserve"> </w:t>
            </w:r>
            <w:r w:rsidR="004E7EAF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Bir önceki yılın aynı ayına göre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Bir önceki aya göre</w:t>
            </w:r>
          </w:p>
        </w:tc>
      </w:tr>
      <w:tr w:rsidR="009C12C4" w:rsidRPr="00DC3CEB" w:rsidTr="00E53300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hideMark/>
          </w:tcPr>
          <w:p w:rsidR="009C12C4" w:rsidRPr="007065F8" w:rsidRDefault="009C12C4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color w:val="000000"/>
                <w:lang w:eastAsia="tr-TR"/>
              </w:rPr>
              <w:t>Tüketici Güven Endeksi</w:t>
            </w:r>
          </w:p>
        </w:tc>
        <w:tc>
          <w:tcPr>
            <w:tcW w:w="1224" w:type="dxa"/>
            <w:noWrap/>
          </w:tcPr>
          <w:p w:rsidR="009C12C4" w:rsidRPr="004E7EAF" w:rsidRDefault="009C12C4" w:rsidP="00BB2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64.39</w:t>
            </w:r>
          </w:p>
        </w:tc>
        <w:tc>
          <w:tcPr>
            <w:tcW w:w="1328" w:type="dxa"/>
            <w:noWrap/>
          </w:tcPr>
          <w:p w:rsidR="009C12C4" w:rsidRPr="004E7EAF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65.35</w:t>
            </w:r>
          </w:p>
        </w:tc>
        <w:tc>
          <w:tcPr>
            <w:tcW w:w="1328" w:type="dxa"/>
          </w:tcPr>
          <w:p w:rsidR="009C12C4" w:rsidRPr="004E7EAF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-5.4</w:t>
            </w:r>
          </w:p>
        </w:tc>
        <w:tc>
          <w:tcPr>
            <w:tcW w:w="1328" w:type="dxa"/>
          </w:tcPr>
          <w:p w:rsidR="009C12C4" w:rsidRPr="004E7EAF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1.5</w:t>
            </w:r>
          </w:p>
        </w:tc>
      </w:tr>
      <w:tr w:rsidR="009C12C4" w:rsidRPr="00DC3CEB" w:rsidTr="00E533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hideMark/>
          </w:tcPr>
          <w:p w:rsidR="009C12C4" w:rsidRPr="00DC3CEB" w:rsidRDefault="009C12C4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Hanenin maddi durum beklentisi</w:t>
            </w:r>
          </w:p>
        </w:tc>
        <w:tc>
          <w:tcPr>
            <w:tcW w:w="1224" w:type="dxa"/>
            <w:noWrap/>
          </w:tcPr>
          <w:p w:rsidR="009C12C4" w:rsidRPr="00DC3CEB" w:rsidRDefault="009C12C4" w:rsidP="00BB2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85.37</w:t>
            </w:r>
          </w:p>
        </w:tc>
        <w:tc>
          <w:tcPr>
            <w:tcW w:w="1328" w:type="dxa"/>
            <w:noWrap/>
          </w:tcPr>
          <w:p w:rsidR="009C12C4" w:rsidRPr="00DC3CEB" w:rsidRDefault="009C12C4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86.16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-1.6</w:t>
            </w:r>
          </w:p>
        </w:tc>
        <w:tc>
          <w:tcPr>
            <w:tcW w:w="1328" w:type="dxa"/>
          </w:tcPr>
          <w:p w:rsidR="009C12C4" w:rsidRDefault="009C12C4" w:rsidP="00BB68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0.9</w:t>
            </w:r>
          </w:p>
        </w:tc>
      </w:tr>
      <w:tr w:rsidR="009C12C4" w:rsidRPr="00DC3CEB" w:rsidTr="004E7EAF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9C12C4" w:rsidRPr="007065F8" w:rsidRDefault="009C12C4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Genel ekonomik durum beklentisi</w:t>
            </w:r>
          </w:p>
        </w:tc>
        <w:tc>
          <w:tcPr>
            <w:tcW w:w="1224" w:type="dxa"/>
            <w:noWrap/>
          </w:tcPr>
          <w:p w:rsidR="009C12C4" w:rsidRDefault="009C12C4" w:rsidP="00BB2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86.30</w:t>
            </w:r>
          </w:p>
        </w:tc>
        <w:tc>
          <w:tcPr>
            <w:tcW w:w="1328" w:type="dxa"/>
            <w:noWrap/>
          </w:tcPr>
          <w:p w:rsidR="009C12C4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86.12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-5.0</w:t>
            </w:r>
          </w:p>
        </w:tc>
        <w:tc>
          <w:tcPr>
            <w:tcW w:w="1328" w:type="dxa"/>
          </w:tcPr>
          <w:p w:rsidR="009C12C4" w:rsidRDefault="009C12C4" w:rsidP="00BB68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-0.2</w:t>
            </w:r>
          </w:p>
        </w:tc>
      </w:tr>
      <w:tr w:rsidR="009C12C4" w:rsidRPr="00DC3CEB" w:rsidTr="00E533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noWrap/>
            <w:hideMark/>
          </w:tcPr>
          <w:p w:rsidR="009C12C4" w:rsidRPr="00DC3CEB" w:rsidRDefault="009C12C4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İşsiz sayısı beklentisi</w:t>
            </w:r>
          </w:p>
        </w:tc>
        <w:tc>
          <w:tcPr>
            <w:tcW w:w="1224" w:type="dxa"/>
            <w:noWrap/>
          </w:tcPr>
          <w:p w:rsidR="009C12C4" w:rsidRPr="00DC3CEB" w:rsidRDefault="009C12C4" w:rsidP="00BB2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65.28</w:t>
            </w:r>
          </w:p>
        </w:tc>
        <w:tc>
          <w:tcPr>
            <w:tcW w:w="1328" w:type="dxa"/>
            <w:noWrap/>
          </w:tcPr>
          <w:p w:rsidR="009C12C4" w:rsidRPr="00DC3CEB" w:rsidRDefault="009C12C4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66.75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-6.3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2.2</w:t>
            </w:r>
          </w:p>
        </w:tc>
      </w:tr>
      <w:tr w:rsidR="009C12C4" w:rsidRPr="00DC3CEB" w:rsidTr="004E7EAF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noWrap/>
          </w:tcPr>
          <w:p w:rsidR="009C12C4" w:rsidRPr="007065F8" w:rsidRDefault="009C12C4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Tasarruf etme ihtimali</w:t>
            </w:r>
          </w:p>
        </w:tc>
        <w:tc>
          <w:tcPr>
            <w:tcW w:w="1224" w:type="dxa"/>
            <w:noWrap/>
          </w:tcPr>
          <w:p w:rsidR="009C12C4" w:rsidRPr="00DC3CEB" w:rsidRDefault="009C12C4" w:rsidP="00BB2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20.61</w:t>
            </w:r>
          </w:p>
        </w:tc>
        <w:tc>
          <w:tcPr>
            <w:tcW w:w="1328" w:type="dxa"/>
            <w:noWrap/>
          </w:tcPr>
          <w:p w:rsidR="009C12C4" w:rsidRPr="00DC3CEB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22.37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-17.5</w:t>
            </w:r>
          </w:p>
        </w:tc>
        <w:tc>
          <w:tcPr>
            <w:tcW w:w="1328" w:type="dxa"/>
          </w:tcPr>
          <w:p w:rsidR="009C12C4" w:rsidRDefault="009C12C4" w:rsidP="004E7E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8.5</w:t>
            </w:r>
          </w:p>
        </w:tc>
      </w:tr>
    </w:tbl>
    <w:p w:rsidR="005B1BF7" w:rsidRDefault="005B1BF7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DFE" w:rsidRDefault="008D5DFE" w:rsidP="00912B49">
      <w:pPr>
        <w:jc w:val="both"/>
      </w:pPr>
    </w:p>
    <w:sectPr w:rsidR="008D5DFE" w:rsidSect="00866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0E" w:rsidRDefault="00290F0E" w:rsidP="007065F8">
      <w:pPr>
        <w:spacing w:after="0" w:line="240" w:lineRule="auto"/>
      </w:pPr>
      <w:r>
        <w:separator/>
      </w:r>
    </w:p>
  </w:endnote>
  <w:endnote w:type="continuationSeparator" w:id="0">
    <w:p w:rsidR="00290F0E" w:rsidRDefault="00290F0E" w:rsidP="007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0E" w:rsidRDefault="00290F0E" w:rsidP="007065F8">
      <w:pPr>
        <w:spacing w:after="0" w:line="240" w:lineRule="auto"/>
      </w:pPr>
      <w:r>
        <w:separator/>
      </w:r>
    </w:p>
  </w:footnote>
  <w:footnote w:type="continuationSeparator" w:id="0">
    <w:p w:rsidR="00290F0E" w:rsidRDefault="00290F0E" w:rsidP="0070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E5"/>
    <w:rsid w:val="00020CDC"/>
    <w:rsid w:val="000758DE"/>
    <w:rsid w:val="00095ABD"/>
    <w:rsid w:val="000A458B"/>
    <w:rsid w:val="001871D2"/>
    <w:rsid w:val="00194C9C"/>
    <w:rsid w:val="001F27B9"/>
    <w:rsid w:val="001F424F"/>
    <w:rsid w:val="00290F0E"/>
    <w:rsid w:val="002C6F9B"/>
    <w:rsid w:val="003037E9"/>
    <w:rsid w:val="00344B2B"/>
    <w:rsid w:val="003873D8"/>
    <w:rsid w:val="003D4079"/>
    <w:rsid w:val="003F6E65"/>
    <w:rsid w:val="00404F0A"/>
    <w:rsid w:val="00421F8C"/>
    <w:rsid w:val="00482B3D"/>
    <w:rsid w:val="004A6869"/>
    <w:rsid w:val="004D2DC1"/>
    <w:rsid w:val="004E7EAF"/>
    <w:rsid w:val="004F4715"/>
    <w:rsid w:val="00507985"/>
    <w:rsid w:val="00520621"/>
    <w:rsid w:val="00564E68"/>
    <w:rsid w:val="00586863"/>
    <w:rsid w:val="005A3067"/>
    <w:rsid w:val="005B1BF7"/>
    <w:rsid w:val="006245E5"/>
    <w:rsid w:val="00630BCE"/>
    <w:rsid w:val="006A47B3"/>
    <w:rsid w:val="007065F8"/>
    <w:rsid w:val="0075084D"/>
    <w:rsid w:val="007B192F"/>
    <w:rsid w:val="007B61FB"/>
    <w:rsid w:val="00835F32"/>
    <w:rsid w:val="00866148"/>
    <w:rsid w:val="008B4BB1"/>
    <w:rsid w:val="008D482D"/>
    <w:rsid w:val="008D5DFE"/>
    <w:rsid w:val="00912B49"/>
    <w:rsid w:val="0093617F"/>
    <w:rsid w:val="009577EA"/>
    <w:rsid w:val="009A24D6"/>
    <w:rsid w:val="009A35D6"/>
    <w:rsid w:val="009C12C4"/>
    <w:rsid w:val="009D1DF7"/>
    <w:rsid w:val="009F1D4B"/>
    <w:rsid w:val="00A07D02"/>
    <w:rsid w:val="00A26AA6"/>
    <w:rsid w:val="00AF36C5"/>
    <w:rsid w:val="00B133E4"/>
    <w:rsid w:val="00B2176E"/>
    <w:rsid w:val="00B512BF"/>
    <w:rsid w:val="00B65927"/>
    <w:rsid w:val="00BB6821"/>
    <w:rsid w:val="00BD2522"/>
    <w:rsid w:val="00C9031E"/>
    <w:rsid w:val="00C9591B"/>
    <w:rsid w:val="00CC5BA0"/>
    <w:rsid w:val="00CF66DE"/>
    <w:rsid w:val="00D17FFB"/>
    <w:rsid w:val="00D24657"/>
    <w:rsid w:val="00D87E15"/>
    <w:rsid w:val="00E402F1"/>
    <w:rsid w:val="00E53300"/>
    <w:rsid w:val="00F56154"/>
    <w:rsid w:val="00F642FF"/>
    <w:rsid w:val="00F9707B"/>
    <w:rsid w:val="00FE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68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868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6C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217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B1BF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B1BF7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8D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5">
    <w:name w:val="Light Shading Accent 5"/>
    <w:basedOn w:val="NormalTablo"/>
    <w:uiPriority w:val="60"/>
    <w:rsid w:val="008D5DF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8D5DF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70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06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68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868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6C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217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B1BF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B1BF7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8D5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-Vurgu5">
    <w:name w:val="Light Shading Accent 5"/>
    <w:basedOn w:val="NormalTablo"/>
    <w:uiPriority w:val="60"/>
    <w:rsid w:val="008D5DF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8D5DF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70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0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227571254202623E-2"/>
          <c:y val="5.1994125734283213E-2"/>
          <c:w val="0.92247032759577829"/>
          <c:h val="0.76096394200724904"/>
        </c:manualLayout>
      </c:layout>
      <c:lineChart>
        <c:grouping val="standard"/>
        <c:varyColors val="0"/>
        <c:ser>
          <c:idx val="0"/>
          <c:order val="0"/>
          <c:tx>
            <c:strRef>
              <c:f>Sayfa1!$B$1</c:f>
              <c:strCache>
                <c:ptCount val="1"/>
                <c:pt idx="0">
                  <c:v>2014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Sayfa1!$A$2:$A$13</c:f>
              <c:strCache>
                <c:ptCount val="12"/>
                <c:pt idx="0">
                  <c:v>Ocak </c:v>
                </c:pt>
                <c:pt idx="1">
                  <c:v>Şubat</c:v>
                </c:pt>
                <c:pt idx="2">
                  <c:v>Mart</c:v>
                </c:pt>
                <c:pt idx="3">
                  <c:v>Nisan </c:v>
                </c:pt>
                <c:pt idx="4">
                  <c:v>Mayıs</c:v>
                </c:pt>
                <c:pt idx="5">
                  <c:v>Haziran 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 </c:v>
                </c:pt>
                <c:pt idx="11">
                  <c:v>Aralık</c:v>
                </c:pt>
              </c:strCache>
            </c:strRef>
          </c:cat>
          <c:val>
            <c:numRef>
              <c:f>Sayfa1!$B$2:$B$13</c:f>
              <c:numCache>
                <c:formatCode>General</c:formatCode>
                <c:ptCount val="12"/>
                <c:pt idx="0">
                  <c:v>72.400000000000006</c:v>
                </c:pt>
                <c:pt idx="1">
                  <c:v>69.2</c:v>
                </c:pt>
                <c:pt idx="2">
                  <c:v>72.7</c:v>
                </c:pt>
                <c:pt idx="3">
                  <c:v>78.5</c:v>
                </c:pt>
                <c:pt idx="4">
                  <c:v>76</c:v>
                </c:pt>
                <c:pt idx="5">
                  <c:v>73.7</c:v>
                </c:pt>
                <c:pt idx="6">
                  <c:v>73.900000000000006</c:v>
                </c:pt>
                <c:pt idx="7">
                  <c:v>73.2</c:v>
                </c:pt>
                <c:pt idx="8">
                  <c:v>74</c:v>
                </c:pt>
                <c:pt idx="9">
                  <c:v>70.3</c:v>
                </c:pt>
                <c:pt idx="10">
                  <c:v>68.7</c:v>
                </c:pt>
                <c:pt idx="11">
                  <c:v>67.75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Sayfa1!$C$1</c:f>
              <c:strCache>
                <c:ptCount val="1"/>
                <c:pt idx="0">
                  <c:v>2015</c:v>
                </c:pt>
              </c:strCache>
            </c:strRef>
          </c:tx>
          <c:dLbls>
            <c:dLbl>
              <c:idx val="0"/>
              <c:layout>
                <c:manualLayout>
                  <c:x val="-4.3867515710379015E-2"/>
                  <c:y val="5.11804774403199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3867515710379015E-2"/>
                  <c:y val="5.51487314085738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3898935641562747E-2"/>
                  <c:y val="5.91169853768279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Sayfa1!$A$2:$A$13</c:f>
              <c:strCache>
                <c:ptCount val="12"/>
                <c:pt idx="0">
                  <c:v>Ocak </c:v>
                </c:pt>
                <c:pt idx="1">
                  <c:v>Şubat</c:v>
                </c:pt>
                <c:pt idx="2">
                  <c:v>Mart</c:v>
                </c:pt>
                <c:pt idx="3">
                  <c:v>Nisan </c:v>
                </c:pt>
                <c:pt idx="4">
                  <c:v>Mayıs</c:v>
                </c:pt>
                <c:pt idx="5">
                  <c:v>Haziran 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 </c:v>
                </c:pt>
                <c:pt idx="11">
                  <c:v>Aralık</c:v>
                </c:pt>
              </c:strCache>
            </c:strRef>
          </c:cat>
          <c:val>
            <c:numRef>
              <c:f>Sayfa1!$C$2:$C$13</c:f>
              <c:numCache>
                <c:formatCode>General</c:formatCode>
                <c:ptCount val="12"/>
                <c:pt idx="0">
                  <c:v>67.709999999999994</c:v>
                </c:pt>
                <c:pt idx="1">
                  <c:v>68.06</c:v>
                </c:pt>
                <c:pt idx="2">
                  <c:v>64.39</c:v>
                </c:pt>
                <c:pt idx="3" formatCode="0.00">
                  <c:v>65.349999999999994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87950080"/>
        <c:axId val="87952000"/>
      </c:lineChart>
      <c:catAx>
        <c:axId val="87950080"/>
        <c:scaling>
          <c:orientation val="minMax"/>
        </c:scaling>
        <c:delete val="0"/>
        <c:axPos val="b"/>
        <c:majorTickMark val="out"/>
        <c:minorTickMark val="none"/>
        <c:tickLblPos val="nextTo"/>
        <c:crossAx val="87952000"/>
        <c:crosses val="autoZero"/>
        <c:auto val="1"/>
        <c:lblAlgn val="ctr"/>
        <c:lblOffset val="100"/>
        <c:noMultiLvlLbl val="0"/>
      </c:catAx>
      <c:valAx>
        <c:axId val="87952000"/>
        <c:scaling>
          <c:orientation val="minMax"/>
          <c:min val="60"/>
        </c:scaling>
        <c:delete val="0"/>
        <c:axPos val="l"/>
        <c:numFmt formatCode="General" sourceLinked="1"/>
        <c:majorTickMark val="out"/>
        <c:minorTickMark val="none"/>
        <c:tickLblPos val="nextTo"/>
        <c:crossAx val="87950080"/>
        <c:crosses val="autoZero"/>
        <c:crossBetween val="between"/>
        <c:majorUnit val="5"/>
      </c:valAx>
      <c:spPr>
        <a:ln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6</cp:revision>
  <cp:lastPrinted>2015-04-22T07:32:00Z</cp:lastPrinted>
  <dcterms:created xsi:type="dcterms:W3CDTF">2015-04-22T06:53:00Z</dcterms:created>
  <dcterms:modified xsi:type="dcterms:W3CDTF">2015-04-22T07:48:00Z</dcterms:modified>
</cp:coreProperties>
</file>