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310"/>
        <w:tblOverlap w:val="never"/>
        <w:tblW w:w="14851" w:type="dxa"/>
        <w:tblLook w:val="04A0" w:firstRow="1" w:lastRow="0" w:firstColumn="1" w:lastColumn="0" w:noHBand="0" w:noVBand="1"/>
      </w:tblPr>
      <w:tblGrid>
        <w:gridCol w:w="535"/>
        <w:gridCol w:w="6662"/>
        <w:gridCol w:w="2548"/>
        <w:gridCol w:w="5106"/>
      </w:tblGrid>
      <w:tr w:rsidR="00E658D2" w:rsidTr="00E658D2">
        <w:tc>
          <w:tcPr>
            <w:tcW w:w="180" w:type="pct"/>
            <w:vAlign w:val="center"/>
          </w:tcPr>
          <w:p w:rsidR="00E658D2" w:rsidRDefault="00E658D2" w:rsidP="00E658D2">
            <w:pPr>
              <w:jc w:val="center"/>
            </w:pPr>
            <w:r>
              <w:t>NO</w:t>
            </w:r>
          </w:p>
        </w:tc>
        <w:tc>
          <w:tcPr>
            <w:tcW w:w="2243" w:type="pct"/>
            <w:vAlign w:val="center"/>
          </w:tcPr>
          <w:p w:rsidR="00E658D2" w:rsidRDefault="00E658D2" w:rsidP="00E658D2">
            <w:pPr>
              <w:jc w:val="center"/>
            </w:pPr>
            <w:r>
              <w:t>Konu</w:t>
            </w:r>
          </w:p>
        </w:tc>
        <w:tc>
          <w:tcPr>
            <w:tcW w:w="858" w:type="pct"/>
            <w:vAlign w:val="center"/>
          </w:tcPr>
          <w:p w:rsidR="00E658D2" w:rsidRDefault="009B1FE4" w:rsidP="00E658D2">
            <w:pPr>
              <w:jc w:val="center"/>
            </w:pPr>
            <w:r>
              <w:t>S</w:t>
            </w:r>
            <w:r w:rsidR="00E658D2">
              <w:t>orun</w:t>
            </w:r>
          </w:p>
        </w:tc>
        <w:tc>
          <w:tcPr>
            <w:tcW w:w="1719" w:type="pct"/>
            <w:vAlign w:val="center"/>
          </w:tcPr>
          <w:p w:rsidR="00E658D2" w:rsidRPr="00F72B54" w:rsidRDefault="009B1FE4" w:rsidP="00F72B54">
            <w:pPr>
              <w:jc w:val="both"/>
              <w:rPr>
                <w:b/>
              </w:rPr>
            </w:pPr>
            <w:r w:rsidRPr="00F72B54">
              <w:rPr>
                <w:b/>
              </w:rPr>
              <w:t>Çözüm Ö</w:t>
            </w:r>
            <w:r w:rsidR="00E658D2" w:rsidRPr="00F72B54">
              <w:rPr>
                <w:b/>
              </w:rPr>
              <w:t>nerisi</w:t>
            </w:r>
          </w:p>
        </w:tc>
      </w:tr>
      <w:tr w:rsidR="00E658D2" w:rsidTr="00E658D2">
        <w:tc>
          <w:tcPr>
            <w:tcW w:w="180" w:type="pct"/>
            <w:vAlign w:val="center"/>
          </w:tcPr>
          <w:p w:rsidR="00E658D2" w:rsidRDefault="00E658D2" w:rsidP="00E658D2">
            <w:pPr>
              <w:jc w:val="center"/>
            </w:pPr>
            <w:r>
              <w:t>1</w:t>
            </w:r>
          </w:p>
        </w:tc>
        <w:tc>
          <w:tcPr>
            <w:tcW w:w="2243" w:type="pct"/>
            <w:vAlign w:val="center"/>
          </w:tcPr>
          <w:p w:rsidR="00E658D2" w:rsidRDefault="00E658D2" w:rsidP="00E658D2">
            <w:pPr>
              <w:jc w:val="center"/>
            </w:pPr>
            <w:r>
              <w:t>Vergi</w:t>
            </w:r>
          </w:p>
        </w:tc>
        <w:tc>
          <w:tcPr>
            <w:tcW w:w="858" w:type="pct"/>
            <w:vAlign w:val="center"/>
          </w:tcPr>
          <w:p w:rsidR="00E658D2" w:rsidRPr="000176D2" w:rsidRDefault="00E658D2" w:rsidP="00E658D2">
            <w:pPr>
              <w:jc w:val="center"/>
              <w:rPr>
                <w:b/>
              </w:rPr>
            </w:pPr>
            <w:proofErr w:type="gramStart"/>
            <w:r w:rsidRPr="000176D2">
              <w:rPr>
                <w:b/>
              </w:rPr>
              <w:t xml:space="preserve">Borsalardan alınan ürün </w:t>
            </w:r>
            <w:r w:rsidR="00572861" w:rsidRPr="000176D2">
              <w:rPr>
                <w:b/>
              </w:rPr>
              <w:t>stopaj</w:t>
            </w:r>
            <w:r w:rsidRPr="000176D2">
              <w:rPr>
                <w:b/>
              </w:rPr>
              <w:t xml:space="preserve"> oranla</w:t>
            </w:r>
            <w:bookmarkStart w:id="0" w:name="_GoBack"/>
            <w:bookmarkEnd w:id="0"/>
            <w:r w:rsidRPr="000176D2">
              <w:rPr>
                <w:b/>
              </w:rPr>
              <w:t>rının yüksek olması.</w:t>
            </w:r>
            <w:proofErr w:type="gramEnd"/>
          </w:p>
        </w:tc>
        <w:tc>
          <w:tcPr>
            <w:tcW w:w="1719" w:type="pct"/>
            <w:vAlign w:val="center"/>
          </w:tcPr>
          <w:p w:rsidR="00E658D2" w:rsidRPr="00F72B54" w:rsidRDefault="00E658D2" w:rsidP="00F72B54">
            <w:pPr>
              <w:jc w:val="both"/>
              <w:rPr>
                <w:b/>
              </w:rPr>
            </w:pPr>
            <w:r w:rsidRPr="00F72B54">
              <w:rPr>
                <w:b/>
              </w:rPr>
              <w:t xml:space="preserve">Borsada tescil ettirilmek şartıyla halen bitkisel ürünlerde %2, hayvansal ürünlerde %1 olarak uygulanmakta olan zirai stopaj oranları sıfırlanmalıdır. Böylece borsada işlem yapmak cazip hale gelecektir. Borsa dışında gerçekleştirilen işlemlere uygulanan %4 ve %2 oranındaki zirai stopaj uygulaması ise devam etmelidir. Halen meyve-sebze, hayvansal ürünler ve pirinç gibi gıdalarda %8 olarak uygulanan KDV oranları %1 düzeyine çekilmelidir. Çiftçiler de vergi iadesi uygulamasından yararlanmalı ve alınacak vergi iadesi oranları, müstahsil makbuzundaki toplam matrahla orantılı olmalıdır. Çiftçilere sağlanan </w:t>
            </w:r>
            <w:r w:rsidR="00572861" w:rsidRPr="00F72B54">
              <w:rPr>
                <w:b/>
              </w:rPr>
              <w:t>teşvik, gelir</w:t>
            </w:r>
            <w:r w:rsidRPr="00F72B54">
              <w:rPr>
                <w:b/>
              </w:rPr>
              <w:t xml:space="preserve"> desteği ve zirai kredi belirlenmesinde müstahsil makbuzu ibrazı aranmalıdır.</w:t>
            </w:r>
          </w:p>
        </w:tc>
      </w:tr>
      <w:tr w:rsidR="00E658D2" w:rsidTr="00E658D2">
        <w:tc>
          <w:tcPr>
            <w:tcW w:w="180" w:type="pct"/>
            <w:vAlign w:val="center"/>
          </w:tcPr>
          <w:p w:rsidR="00E658D2" w:rsidRDefault="00E658D2" w:rsidP="00E658D2">
            <w:pPr>
              <w:jc w:val="center"/>
            </w:pPr>
            <w:r>
              <w:t>2</w:t>
            </w:r>
          </w:p>
        </w:tc>
        <w:tc>
          <w:tcPr>
            <w:tcW w:w="2243" w:type="pct"/>
            <w:vAlign w:val="center"/>
          </w:tcPr>
          <w:p w:rsidR="00E658D2" w:rsidRDefault="009B1FE4" w:rsidP="00E658D2">
            <w:pPr>
              <w:jc w:val="center"/>
            </w:pPr>
            <w:r>
              <w:t>Teşvikler ve Destekler</w:t>
            </w:r>
          </w:p>
        </w:tc>
        <w:tc>
          <w:tcPr>
            <w:tcW w:w="858" w:type="pct"/>
            <w:vAlign w:val="center"/>
          </w:tcPr>
          <w:p w:rsidR="00E658D2" w:rsidRPr="000176D2" w:rsidRDefault="009B1FE4" w:rsidP="00E658D2">
            <w:pPr>
              <w:jc w:val="center"/>
              <w:rPr>
                <w:b/>
              </w:rPr>
            </w:pPr>
            <w:r w:rsidRPr="000176D2">
              <w:rPr>
                <w:b/>
              </w:rPr>
              <w:t>Gaziantep'in teşvik sistemindeki yerinin düşük olması.</w:t>
            </w:r>
          </w:p>
        </w:tc>
        <w:tc>
          <w:tcPr>
            <w:tcW w:w="1719" w:type="pct"/>
            <w:vAlign w:val="center"/>
          </w:tcPr>
          <w:p w:rsidR="00E658D2" w:rsidRPr="00F72B54" w:rsidRDefault="009B1FE4" w:rsidP="00F72B54">
            <w:pPr>
              <w:jc w:val="both"/>
              <w:rPr>
                <w:b/>
              </w:rPr>
            </w:pPr>
            <w:r w:rsidRPr="00F72B54">
              <w:rPr>
                <w:b/>
              </w:rPr>
              <w:t>G.</w:t>
            </w:r>
            <w:r w:rsidR="00572861" w:rsidRPr="00F72B54">
              <w:rPr>
                <w:b/>
              </w:rPr>
              <w:t xml:space="preserve"> </w:t>
            </w:r>
            <w:r w:rsidRPr="00F72B54">
              <w:rPr>
                <w:b/>
              </w:rPr>
              <w:t>Antep</w:t>
            </w:r>
            <w:r w:rsidR="00572861" w:rsidRPr="00F72B54">
              <w:rPr>
                <w:b/>
              </w:rPr>
              <w:t>,</w:t>
            </w:r>
            <w:r w:rsidRPr="00F72B54">
              <w:rPr>
                <w:b/>
              </w:rPr>
              <w:t xml:space="preserve"> ülkemizin </w:t>
            </w:r>
            <w:r w:rsidR="00572861" w:rsidRPr="00F72B54">
              <w:rPr>
                <w:b/>
              </w:rPr>
              <w:t>sanayi, ticaret</w:t>
            </w:r>
            <w:r w:rsidRPr="00F72B54">
              <w:rPr>
                <w:b/>
              </w:rPr>
              <w:t xml:space="preserve"> ve tarım alanlarında öncü şehirlerinden </w:t>
            </w:r>
            <w:r w:rsidR="00572861" w:rsidRPr="00F72B54">
              <w:rPr>
                <w:b/>
              </w:rPr>
              <w:t>biridir. Ancak</w:t>
            </w:r>
            <w:r w:rsidRPr="00F72B54">
              <w:rPr>
                <w:b/>
              </w:rPr>
              <w:t xml:space="preserve"> </w:t>
            </w:r>
            <w:proofErr w:type="spellStart"/>
            <w:r w:rsidRPr="00F72B54">
              <w:rPr>
                <w:b/>
              </w:rPr>
              <w:t>G.Antep</w:t>
            </w:r>
            <w:proofErr w:type="spellEnd"/>
            <w:r w:rsidRPr="00F72B54">
              <w:rPr>
                <w:b/>
              </w:rPr>
              <w:t xml:space="preserve"> teşvik de 3. sırada kalmıştır.</w:t>
            </w:r>
            <w:r w:rsidR="00572861" w:rsidRPr="00F72B54">
              <w:rPr>
                <w:b/>
              </w:rPr>
              <w:t xml:space="preserve"> </w:t>
            </w:r>
            <w:proofErr w:type="spellStart"/>
            <w:r w:rsidRPr="00F72B54">
              <w:rPr>
                <w:b/>
              </w:rPr>
              <w:t>G.Antep'in</w:t>
            </w:r>
            <w:proofErr w:type="spellEnd"/>
            <w:r w:rsidRPr="00F72B54">
              <w:rPr>
                <w:b/>
              </w:rPr>
              <w:t xml:space="preserve"> en azından 4. bölgeye yükseltilerek gelişiminin hızlanmasına devam etmesi sağlanmalıdır.</w:t>
            </w:r>
            <w:r w:rsidR="00572861" w:rsidRPr="00F72B54">
              <w:rPr>
                <w:b/>
              </w:rPr>
              <w:t xml:space="preserve"> </w:t>
            </w:r>
            <w:proofErr w:type="spellStart"/>
            <w:r w:rsidRPr="00F72B54">
              <w:rPr>
                <w:b/>
              </w:rPr>
              <w:t>G.Antep</w:t>
            </w:r>
            <w:proofErr w:type="spellEnd"/>
            <w:r w:rsidRPr="00F72B54">
              <w:rPr>
                <w:b/>
              </w:rPr>
              <w:t xml:space="preserve"> konum olarak sürekli göç alan bir şehirdir her ne kadar iş </w:t>
            </w:r>
            <w:r w:rsidR="00572861" w:rsidRPr="00F72B54">
              <w:rPr>
                <w:b/>
              </w:rPr>
              <w:t>imkânları</w:t>
            </w:r>
            <w:r w:rsidRPr="00F72B54">
              <w:rPr>
                <w:b/>
              </w:rPr>
              <w:t xml:space="preserve"> çok gibi görünse de işsizlik büyük sorundur.</w:t>
            </w:r>
            <w:r w:rsidR="00572861" w:rsidRPr="00F72B54">
              <w:rPr>
                <w:b/>
              </w:rPr>
              <w:t xml:space="preserve"> </w:t>
            </w:r>
            <w:r w:rsidRPr="00F72B54">
              <w:rPr>
                <w:b/>
              </w:rPr>
              <w:t>Eğer şehir teşviklerle desteklenirse yeni fabrikalar kurulup yeni iş kolları gelişip işsizlik sorunun da önüne geçilmiş olur.</w:t>
            </w:r>
          </w:p>
        </w:tc>
      </w:tr>
      <w:tr w:rsidR="00E658D2" w:rsidTr="009B1FE4">
        <w:trPr>
          <w:trHeight w:val="70"/>
        </w:trPr>
        <w:tc>
          <w:tcPr>
            <w:tcW w:w="180" w:type="pct"/>
            <w:vAlign w:val="center"/>
          </w:tcPr>
          <w:p w:rsidR="00E658D2" w:rsidRDefault="00E658D2" w:rsidP="00E658D2">
            <w:pPr>
              <w:jc w:val="center"/>
            </w:pPr>
          </w:p>
        </w:tc>
        <w:tc>
          <w:tcPr>
            <w:tcW w:w="2243" w:type="pct"/>
            <w:vAlign w:val="center"/>
          </w:tcPr>
          <w:p w:rsidR="00E658D2" w:rsidRDefault="00E658D2" w:rsidP="00E658D2">
            <w:pPr>
              <w:jc w:val="center"/>
            </w:pPr>
          </w:p>
        </w:tc>
        <w:tc>
          <w:tcPr>
            <w:tcW w:w="858" w:type="pct"/>
            <w:vAlign w:val="center"/>
          </w:tcPr>
          <w:p w:rsidR="00E658D2" w:rsidRPr="000176D2" w:rsidRDefault="00E658D2" w:rsidP="00E658D2">
            <w:pPr>
              <w:jc w:val="center"/>
              <w:rPr>
                <w:b/>
              </w:rPr>
            </w:pPr>
          </w:p>
        </w:tc>
        <w:tc>
          <w:tcPr>
            <w:tcW w:w="1719" w:type="pct"/>
            <w:vAlign w:val="center"/>
          </w:tcPr>
          <w:p w:rsidR="00E658D2" w:rsidRPr="00F72B54" w:rsidRDefault="00E658D2" w:rsidP="00F72B54">
            <w:pPr>
              <w:jc w:val="both"/>
              <w:rPr>
                <w:b/>
              </w:rPr>
            </w:pPr>
          </w:p>
        </w:tc>
      </w:tr>
      <w:tr w:rsidR="00E658D2" w:rsidTr="009B1FE4">
        <w:trPr>
          <w:trHeight w:val="2536"/>
        </w:trPr>
        <w:tc>
          <w:tcPr>
            <w:tcW w:w="180" w:type="pct"/>
            <w:vAlign w:val="center"/>
          </w:tcPr>
          <w:p w:rsidR="00E658D2" w:rsidRDefault="009B1FE4" w:rsidP="00E658D2">
            <w:pPr>
              <w:jc w:val="center"/>
            </w:pPr>
            <w:r>
              <w:lastRenderedPageBreak/>
              <w:t>3</w:t>
            </w:r>
          </w:p>
        </w:tc>
        <w:tc>
          <w:tcPr>
            <w:tcW w:w="2243" w:type="pct"/>
            <w:vAlign w:val="center"/>
          </w:tcPr>
          <w:p w:rsidR="00E658D2" w:rsidRDefault="009B1FE4" w:rsidP="00E658D2">
            <w:pPr>
              <w:jc w:val="center"/>
            </w:pPr>
            <w:r>
              <w:t>Tarım ve Hayvancılık</w:t>
            </w:r>
          </w:p>
        </w:tc>
        <w:tc>
          <w:tcPr>
            <w:tcW w:w="858" w:type="pct"/>
            <w:vAlign w:val="center"/>
          </w:tcPr>
          <w:p w:rsidR="00E658D2" w:rsidRPr="000176D2" w:rsidRDefault="009B1FE4" w:rsidP="00E658D2">
            <w:pPr>
              <w:jc w:val="center"/>
              <w:rPr>
                <w:b/>
              </w:rPr>
            </w:pPr>
            <w:r w:rsidRPr="000176D2">
              <w:rPr>
                <w:b/>
              </w:rPr>
              <w:t>Nizip İlçesinin tarıma dayalı ihtisas organize bölgesinin olmaması.</w:t>
            </w:r>
          </w:p>
        </w:tc>
        <w:tc>
          <w:tcPr>
            <w:tcW w:w="1719" w:type="pct"/>
            <w:vAlign w:val="center"/>
          </w:tcPr>
          <w:p w:rsidR="00E658D2" w:rsidRPr="00F72B54" w:rsidRDefault="009B1FE4" w:rsidP="00F72B54">
            <w:pPr>
              <w:jc w:val="both"/>
              <w:rPr>
                <w:b/>
              </w:rPr>
            </w:pPr>
            <w:r w:rsidRPr="00F72B54">
              <w:rPr>
                <w:b/>
              </w:rPr>
              <w:t xml:space="preserve">Nizip </w:t>
            </w:r>
            <w:proofErr w:type="spellStart"/>
            <w:r w:rsidRPr="00F72B54">
              <w:rPr>
                <w:b/>
              </w:rPr>
              <w:t>G.Antep</w:t>
            </w:r>
            <w:proofErr w:type="spellEnd"/>
            <w:r w:rsidRPr="00F72B54">
              <w:rPr>
                <w:b/>
              </w:rPr>
              <w:t xml:space="preserve"> bölgesinde üretilen Antep Fıstığının yaklaşık %70'ini tek başına </w:t>
            </w:r>
            <w:r w:rsidR="00F72B54" w:rsidRPr="00F72B54">
              <w:rPr>
                <w:b/>
              </w:rPr>
              <w:t>karşılamaktadır. Yıllık</w:t>
            </w:r>
            <w:r w:rsidRPr="00F72B54">
              <w:rPr>
                <w:b/>
              </w:rPr>
              <w:t xml:space="preserve"> yaklaşık 21 bin ton </w:t>
            </w:r>
            <w:proofErr w:type="gramStart"/>
            <w:r w:rsidRPr="00F72B54">
              <w:rPr>
                <w:b/>
              </w:rPr>
              <w:t>rekolte</w:t>
            </w:r>
            <w:proofErr w:type="gramEnd"/>
            <w:r w:rsidRPr="00F72B54">
              <w:rPr>
                <w:b/>
              </w:rPr>
              <w:t xml:space="preserve"> elde </w:t>
            </w:r>
            <w:r w:rsidR="00F72B54" w:rsidRPr="00F72B54">
              <w:rPr>
                <w:b/>
              </w:rPr>
              <w:t>edilmektedir. Nizip</w:t>
            </w:r>
            <w:r w:rsidRPr="00F72B54">
              <w:rPr>
                <w:b/>
              </w:rPr>
              <w:t xml:space="preserve"> Antep fıstığı üretim,</w:t>
            </w:r>
            <w:r w:rsidR="00F72B54" w:rsidRPr="00F72B54">
              <w:rPr>
                <w:b/>
              </w:rPr>
              <w:t xml:space="preserve"> </w:t>
            </w:r>
            <w:r w:rsidRPr="00F72B54">
              <w:rPr>
                <w:b/>
              </w:rPr>
              <w:t>ticaret ve ihracat merkezi haline gelmiştir.</w:t>
            </w:r>
            <w:r w:rsidR="00F72B54" w:rsidRPr="00F72B54">
              <w:rPr>
                <w:b/>
              </w:rPr>
              <w:t xml:space="preserve"> </w:t>
            </w:r>
            <w:r w:rsidRPr="00F72B54">
              <w:rPr>
                <w:b/>
              </w:rPr>
              <w:t>Verimli topraklar yanında tecrübeli elemana da sahip olan Nizip tarıma dayalı ihtisas ve organize sanayi bölgesi kurulması için uygundur.</w:t>
            </w:r>
            <w:r w:rsidR="00F72B54" w:rsidRPr="00F72B54">
              <w:rPr>
                <w:b/>
              </w:rPr>
              <w:t xml:space="preserve"> </w:t>
            </w:r>
            <w:r w:rsidRPr="00F72B54">
              <w:rPr>
                <w:b/>
              </w:rPr>
              <w:t>Nizip de faaliyet gösteren 194 adet fıstık işleme tesisinde ortaya çıkan binlerce ton atık yetersiz artıma koşulları nedeniyle çevre kirliliğine neden olmaktadır.</w:t>
            </w:r>
            <w:r w:rsidR="00F72B54" w:rsidRPr="00F72B54">
              <w:rPr>
                <w:b/>
              </w:rPr>
              <w:t xml:space="preserve"> </w:t>
            </w:r>
            <w:r w:rsidRPr="00F72B54">
              <w:rPr>
                <w:b/>
              </w:rPr>
              <w:t xml:space="preserve">İşletmelerin dağınık olması nedeniyle ortak bir arıtma tesisi kurmakta </w:t>
            </w:r>
            <w:r w:rsidR="00F72B54" w:rsidRPr="00F72B54">
              <w:rPr>
                <w:b/>
              </w:rPr>
              <w:t>imkânsız</w:t>
            </w:r>
            <w:r w:rsidRPr="00F72B54">
              <w:rPr>
                <w:b/>
              </w:rPr>
              <w:t xml:space="preserve"> hale gelmiştir.</w:t>
            </w:r>
            <w:r w:rsidR="00F72B54" w:rsidRPr="00F72B54">
              <w:rPr>
                <w:b/>
              </w:rPr>
              <w:t xml:space="preserve"> </w:t>
            </w:r>
            <w:r w:rsidRPr="00F72B54">
              <w:rPr>
                <w:b/>
              </w:rPr>
              <w:t>Organize sanayi bölgesinin kurulması ile büyük bir çevre sorunun da önüne geçilecektir.</w:t>
            </w:r>
          </w:p>
        </w:tc>
      </w:tr>
      <w:tr w:rsidR="009B1FE4" w:rsidTr="009B1FE4">
        <w:trPr>
          <w:trHeight w:val="2536"/>
        </w:trPr>
        <w:tc>
          <w:tcPr>
            <w:tcW w:w="180" w:type="pct"/>
            <w:vAlign w:val="center"/>
          </w:tcPr>
          <w:p w:rsidR="009B1FE4" w:rsidRDefault="009B1FE4" w:rsidP="00E658D2">
            <w:pPr>
              <w:jc w:val="center"/>
            </w:pPr>
            <w:r>
              <w:t>4</w:t>
            </w:r>
          </w:p>
        </w:tc>
        <w:tc>
          <w:tcPr>
            <w:tcW w:w="2243" w:type="pct"/>
            <w:vAlign w:val="center"/>
          </w:tcPr>
          <w:p w:rsidR="009B1FE4" w:rsidRDefault="009B1FE4" w:rsidP="00E658D2">
            <w:pPr>
              <w:jc w:val="center"/>
            </w:pPr>
            <w:r>
              <w:t>Ulaştırma ve Lojistik</w:t>
            </w:r>
          </w:p>
        </w:tc>
        <w:tc>
          <w:tcPr>
            <w:tcW w:w="858" w:type="pct"/>
            <w:vAlign w:val="center"/>
          </w:tcPr>
          <w:p w:rsidR="009B1FE4" w:rsidRPr="000176D2" w:rsidRDefault="009B1FE4" w:rsidP="00E658D2">
            <w:pPr>
              <w:jc w:val="center"/>
              <w:rPr>
                <w:b/>
              </w:rPr>
            </w:pPr>
            <w:r w:rsidRPr="000176D2">
              <w:rPr>
                <w:b/>
              </w:rPr>
              <w:t xml:space="preserve">Gaziantep-Nizip arası yolun </w:t>
            </w:r>
            <w:proofErr w:type="gramStart"/>
            <w:r w:rsidRPr="000176D2">
              <w:rPr>
                <w:b/>
              </w:rPr>
              <w:t>duble</w:t>
            </w:r>
            <w:proofErr w:type="gramEnd"/>
            <w:r w:rsidRPr="000176D2">
              <w:rPr>
                <w:b/>
              </w:rPr>
              <w:t xml:space="preserve"> yol olmaması.</w:t>
            </w:r>
          </w:p>
        </w:tc>
        <w:tc>
          <w:tcPr>
            <w:tcW w:w="1719" w:type="pct"/>
            <w:vAlign w:val="center"/>
          </w:tcPr>
          <w:p w:rsidR="009B1FE4" w:rsidRPr="00F72B54" w:rsidRDefault="009B1FE4" w:rsidP="00F72B54">
            <w:pPr>
              <w:jc w:val="both"/>
              <w:rPr>
                <w:b/>
              </w:rPr>
            </w:pPr>
            <w:r w:rsidRPr="00F72B54">
              <w:rPr>
                <w:b/>
              </w:rPr>
              <w:t>Tarihi İpek yolunun bir kolu olan E-90 Kara yolunun bir bölümü Nizip ile Gaziantep'i birbirine bağlamakta ve çok yoğun olarak kullanılmaktadır.</w:t>
            </w:r>
            <w:r w:rsidR="00497CDB" w:rsidRPr="00F72B54">
              <w:rPr>
                <w:b/>
              </w:rPr>
              <w:t xml:space="preserve"> </w:t>
            </w:r>
            <w:r w:rsidRPr="00F72B54">
              <w:rPr>
                <w:b/>
              </w:rPr>
              <w:t xml:space="preserve">Söz konusu yol bu yoğunluğu </w:t>
            </w:r>
            <w:r w:rsidR="00497CDB" w:rsidRPr="00F72B54">
              <w:rPr>
                <w:b/>
              </w:rPr>
              <w:t>kaldıramamaktadır. Hemen</w:t>
            </w:r>
            <w:r w:rsidRPr="00F72B54">
              <w:rPr>
                <w:b/>
              </w:rPr>
              <w:t xml:space="preserve"> her gün bir trafik kazası olmakta can ve mal kayıpları meydana </w:t>
            </w:r>
            <w:r w:rsidR="00497CDB" w:rsidRPr="00F72B54">
              <w:rPr>
                <w:b/>
              </w:rPr>
              <w:t>gelmektedir. Bu</w:t>
            </w:r>
            <w:r w:rsidRPr="00F72B54">
              <w:rPr>
                <w:b/>
              </w:rPr>
              <w:t xml:space="preserve"> yol </w:t>
            </w:r>
            <w:proofErr w:type="gramStart"/>
            <w:r w:rsidRPr="00F72B54">
              <w:rPr>
                <w:b/>
              </w:rPr>
              <w:t>duble</w:t>
            </w:r>
            <w:proofErr w:type="gramEnd"/>
            <w:r w:rsidRPr="00F72B54">
              <w:rPr>
                <w:b/>
              </w:rPr>
              <w:t xml:space="preserve"> yol haline getirilerek daha işler bir hal </w:t>
            </w:r>
            <w:r w:rsidR="00497CDB" w:rsidRPr="00F72B54">
              <w:rPr>
                <w:b/>
              </w:rPr>
              <w:t>almalıdır. Ayrıca</w:t>
            </w:r>
            <w:r w:rsidRPr="00F72B54">
              <w:rPr>
                <w:b/>
              </w:rPr>
              <w:t xml:space="preserve"> bu yol </w:t>
            </w:r>
            <w:proofErr w:type="gramStart"/>
            <w:r w:rsidRPr="00F72B54">
              <w:rPr>
                <w:b/>
              </w:rPr>
              <w:t>duble</w:t>
            </w:r>
            <w:proofErr w:type="gramEnd"/>
            <w:r w:rsidRPr="00F72B54">
              <w:rPr>
                <w:b/>
              </w:rPr>
              <w:t xml:space="preserve"> hale geldiği zaman ulaşım rahatlayacak ve daha hızlı sevkiyatlar </w:t>
            </w:r>
            <w:r w:rsidR="00497CDB" w:rsidRPr="00F72B54">
              <w:rPr>
                <w:b/>
              </w:rPr>
              <w:t>gerçekleşecektir. Bu</w:t>
            </w:r>
            <w:r w:rsidRPr="00F72B54">
              <w:rPr>
                <w:b/>
              </w:rPr>
              <w:t xml:space="preserve"> da </w:t>
            </w:r>
            <w:r w:rsidR="00497CDB" w:rsidRPr="00F72B54">
              <w:rPr>
                <w:b/>
              </w:rPr>
              <w:t>bölge, il</w:t>
            </w:r>
            <w:r w:rsidRPr="00F72B54">
              <w:rPr>
                <w:b/>
              </w:rPr>
              <w:t xml:space="preserve"> ve ilçe ekonomisine olumlu katkıda bulunacaktır.</w:t>
            </w:r>
            <w:r w:rsidR="00497CDB" w:rsidRPr="00F72B54">
              <w:rPr>
                <w:b/>
              </w:rPr>
              <w:t xml:space="preserve"> </w:t>
            </w:r>
            <w:r w:rsidRPr="00F72B54">
              <w:rPr>
                <w:b/>
              </w:rPr>
              <w:t>Her şeyden önemlisi can ve mal kaybı en asgari düzeye inecektir.</w:t>
            </w:r>
          </w:p>
        </w:tc>
      </w:tr>
      <w:tr w:rsidR="009B1FE4" w:rsidTr="009B1FE4">
        <w:trPr>
          <w:trHeight w:val="2536"/>
        </w:trPr>
        <w:tc>
          <w:tcPr>
            <w:tcW w:w="180" w:type="pct"/>
            <w:vAlign w:val="center"/>
          </w:tcPr>
          <w:p w:rsidR="009B1FE4" w:rsidRDefault="009B1FE4" w:rsidP="00E658D2">
            <w:pPr>
              <w:jc w:val="center"/>
            </w:pPr>
            <w:r>
              <w:lastRenderedPageBreak/>
              <w:t>5</w:t>
            </w:r>
          </w:p>
        </w:tc>
        <w:tc>
          <w:tcPr>
            <w:tcW w:w="2243" w:type="pct"/>
            <w:vAlign w:val="center"/>
          </w:tcPr>
          <w:p w:rsidR="009B1FE4" w:rsidRDefault="009B1FE4" w:rsidP="00E658D2">
            <w:pPr>
              <w:jc w:val="center"/>
            </w:pPr>
            <w:r>
              <w:t>Tarım ve Hayvancılık</w:t>
            </w:r>
          </w:p>
        </w:tc>
        <w:tc>
          <w:tcPr>
            <w:tcW w:w="858" w:type="pct"/>
            <w:vAlign w:val="center"/>
          </w:tcPr>
          <w:p w:rsidR="009B1FE4" w:rsidRPr="009B1FE4" w:rsidRDefault="009B1FE4" w:rsidP="00E658D2">
            <w:pPr>
              <w:jc w:val="center"/>
            </w:pPr>
            <w:r w:rsidRPr="009B1FE4">
              <w:t>Antep Fıstığının Destek Kapsamında Olmaması.</w:t>
            </w:r>
          </w:p>
        </w:tc>
        <w:tc>
          <w:tcPr>
            <w:tcW w:w="1719" w:type="pct"/>
            <w:vAlign w:val="center"/>
          </w:tcPr>
          <w:p w:rsidR="009B1FE4" w:rsidRPr="00F72B54" w:rsidRDefault="009B1FE4" w:rsidP="00F72B54">
            <w:pPr>
              <w:jc w:val="both"/>
              <w:rPr>
                <w:b/>
              </w:rPr>
            </w:pPr>
            <w:r w:rsidRPr="00F72B54">
              <w:rPr>
                <w:b/>
              </w:rPr>
              <w:t>Antep fıstığında son yıl</w:t>
            </w:r>
            <w:r w:rsidR="00572861" w:rsidRPr="00F72B54">
              <w:rPr>
                <w:b/>
              </w:rPr>
              <w:t>larda yaşanan dar</w:t>
            </w:r>
            <w:r w:rsidRPr="00F72B54">
              <w:rPr>
                <w:b/>
              </w:rPr>
              <w:t>boğaz fıstık piyasasını sıkıntıya sokmaktadır.</w:t>
            </w:r>
            <w:r w:rsidR="00572861" w:rsidRPr="00F72B54">
              <w:rPr>
                <w:b/>
              </w:rPr>
              <w:t xml:space="preserve"> </w:t>
            </w:r>
            <w:r w:rsidRPr="00F72B54">
              <w:rPr>
                <w:b/>
              </w:rPr>
              <w:t xml:space="preserve">Bu durum stokçuların çoğalmasına ve üreticilerin zarar </w:t>
            </w:r>
            <w:r w:rsidR="00572861" w:rsidRPr="00F72B54">
              <w:rPr>
                <w:b/>
              </w:rPr>
              <w:t>görmesine, arz</w:t>
            </w:r>
            <w:r w:rsidRPr="00F72B54">
              <w:rPr>
                <w:b/>
              </w:rPr>
              <w:t xml:space="preserve">-talep dengesinin bozulmasına neden </w:t>
            </w:r>
            <w:r w:rsidR="00572861" w:rsidRPr="00F72B54">
              <w:rPr>
                <w:b/>
              </w:rPr>
              <w:t>olmaktadır. Bu</w:t>
            </w:r>
            <w:r w:rsidRPr="00F72B54">
              <w:rPr>
                <w:b/>
              </w:rPr>
              <w:t xml:space="preserve"> stokçuluğun ve arz-talep dengesinin bilinerek bozulmasının önüne geçmenin en önemli çözümü, Antep fıstığında çiftçilerin ürettikleri ürünlerin kayıt altına alınabilmesi için, Antep fıstığının çiftçiler bazında devlet tarafından desteklenmesi, yani Antep fıstığının destek altına alınması ile mümkündür. Bu şekilde destekleme altına alınacak olan Antep fıstığı, çiftçiler tarafından satılırken hangi aracıda ne kadar ürün olduğu bilinecek ve kayıtsız ürün alım-satımının da önüne geçilecektir.</w:t>
            </w:r>
          </w:p>
        </w:tc>
      </w:tr>
    </w:tbl>
    <w:p w:rsidR="00E658D2" w:rsidRDefault="00E658D2" w:rsidP="005A0750"/>
    <w:p w:rsidR="00E658D2" w:rsidRDefault="00E658D2" w:rsidP="005A0750"/>
    <w:p w:rsidR="00E658D2" w:rsidRDefault="00E658D2" w:rsidP="005A0750"/>
    <w:p w:rsidR="00E658D2" w:rsidRDefault="00E658D2" w:rsidP="005A0750"/>
    <w:p w:rsidR="00E658D2" w:rsidRDefault="00E658D2" w:rsidP="005A0750"/>
    <w:p w:rsidR="00E658D2" w:rsidRDefault="00E658D2" w:rsidP="005A0750"/>
    <w:p w:rsidR="00E658D2" w:rsidRDefault="00E658D2" w:rsidP="005A0750"/>
    <w:p w:rsidR="00E658D2" w:rsidRDefault="00E658D2" w:rsidP="005A0750"/>
    <w:p w:rsidR="00E658D2" w:rsidRDefault="00E658D2" w:rsidP="005A0750"/>
    <w:sectPr w:rsidR="00E658D2" w:rsidSect="005A0750">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15" w:rsidRDefault="00D13915" w:rsidP="00E658D2">
      <w:pPr>
        <w:spacing w:after="0" w:line="240" w:lineRule="auto"/>
      </w:pPr>
      <w:r>
        <w:separator/>
      </w:r>
    </w:p>
  </w:endnote>
  <w:endnote w:type="continuationSeparator" w:id="0">
    <w:p w:rsidR="00D13915" w:rsidRDefault="00D13915" w:rsidP="00E6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81" w:rsidRDefault="001561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81" w:rsidRDefault="0015618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81" w:rsidRDefault="001561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15" w:rsidRDefault="00D13915" w:rsidP="00E658D2">
      <w:pPr>
        <w:spacing w:after="0" w:line="240" w:lineRule="auto"/>
      </w:pPr>
      <w:r>
        <w:separator/>
      </w:r>
    </w:p>
  </w:footnote>
  <w:footnote w:type="continuationSeparator" w:id="0">
    <w:p w:rsidR="00D13915" w:rsidRDefault="00D13915" w:rsidP="00E65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81" w:rsidRDefault="001561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2660"/>
      <w:gridCol w:w="11484"/>
    </w:tblGrid>
    <w:tr w:rsidR="00156181" w:rsidRPr="00156181" w:rsidTr="00E658D2">
      <w:tc>
        <w:tcPr>
          <w:tcW w:w="2660" w:type="dxa"/>
          <w:vAlign w:val="center"/>
        </w:tcPr>
        <w:p w:rsidR="00E658D2" w:rsidRDefault="00E658D2" w:rsidP="00E658D2">
          <w:pPr>
            <w:jc w:val="center"/>
          </w:pPr>
          <w:r>
            <w:rPr>
              <w:noProof/>
              <w:lang w:eastAsia="tr-TR"/>
            </w:rPr>
            <w:drawing>
              <wp:inline distT="0" distB="0" distL="0" distR="0">
                <wp:extent cx="990600" cy="990600"/>
                <wp:effectExtent l="19050" t="0" r="0" b="0"/>
                <wp:docPr id="1" name="Resim 1" descr="C:\Users\Abuzer\Desktop\abuze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zer\Desktop\abuzer\logo PNG,.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1484" w:type="dxa"/>
          <w:vAlign w:val="center"/>
        </w:tcPr>
        <w:p w:rsidR="00E658D2" w:rsidRPr="00156181" w:rsidRDefault="00E658D2" w:rsidP="00E658D2">
          <w:pPr>
            <w:jc w:val="center"/>
            <w:rPr>
              <w:b/>
              <w:color w:val="FF0000"/>
              <w:sz w:val="28"/>
            </w:rPr>
          </w:pPr>
          <w:r w:rsidRPr="00156181">
            <w:rPr>
              <w:b/>
              <w:color w:val="FF0000"/>
              <w:sz w:val="28"/>
            </w:rPr>
            <w:t>NİZİP TİCARET BORSASI 5 SORUN 5 ÇÖZÜM ÖNERİSİ</w:t>
          </w:r>
        </w:p>
        <w:p w:rsidR="00E658D2" w:rsidRPr="00156181" w:rsidRDefault="00E658D2" w:rsidP="00E658D2">
          <w:pPr>
            <w:jc w:val="center"/>
            <w:rPr>
              <w:b/>
              <w:color w:val="FF0000"/>
              <w:sz w:val="28"/>
            </w:rPr>
          </w:pPr>
        </w:p>
      </w:tc>
    </w:tr>
  </w:tbl>
  <w:p w:rsidR="00E658D2" w:rsidRDefault="00E658D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81" w:rsidRDefault="001561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2334"/>
    <w:rsid w:val="000176D2"/>
    <w:rsid w:val="000D6720"/>
    <w:rsid w:val="00152D2E"/>
    <w:rsid w:val="00156181"/>
    <w:rsid w:val="00166A77"/>
    <w:rsid w:val="00194CF4"/>
    <w:rsid w:val="002837AE"/>
    <w:rsid w:val="00497CDB"/>
    <w:rsid w:val="00551CF4"/>
    <w:rsid w:val="00572861"/>
    <w:rsid w:val="005A0750"/>
    <w:rsid w:val="00615141"/>
    <w:rsid w:val="0061748B"/>
    <w:rsid w:val="006864ED"/>
    <w:rsid w:val="00861BEC"/>
    <w:rsid w:val="008E48C1"/>
    <w:rsid w:val="009A3394"/>
    <w:rsid w:val="009B1FE4"/>
    <w:rsid w:val="00D13915"/>
    <w:rsid w:val="00E658D2"/>
    <w:rsid w:val="00E92334"/>
    <w:rsid w:val="00F72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B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BEC"/>
    <w:rPr>
      <w:rFonts w:ascii="Tahoma" w:hAnsi="Tahoma" w:cs="Tahoma"/>
      <w:sz w:val="16"/>
      <w:szCs w:val="16"/>
    </w:rPr>
  </w:style>
  <w:style w:type="table" w:styleId="TabloKlavuzu">
    <w:name w:val="Table Grid"/>
    <w:basedOn w:val="NormalTablo"/>
    <w:uiPriority w:val="59"/>
    <w:rsid w:val="000D6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E658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58D2"/>
  </w:style>
  <w:style w:type="paragraph" w:styleId="Altbilgi">
    <w:name w:val="footer"/>
    <w:basedOn w:val="Normal"/>
    <w:link w:val="AltbilgiChar"/>
    <w:uiPriority w:val="99"/>
    <w:unhideWhenUsed/>
    <w:rsid w:val="00E658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5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B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1c20c64f8907b60cba456b0916a53785">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F9B14-1288-4FE5-B9BF-090B15862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39B2-11FA-471C-8F4D-D2D7F2CCFA7D}">
  <ds:schemaRefs>
    <ds:schemaRef ds:uri="http://schemas.microsoft.com/sharepoint/v3/contenttype/forms"/>
  </ds:schemaRefs>
</ds:datastoreItem>
</file>

<file path=customXml/itemProps3.xml><?xml version="1.0" encoding="utf-8"?>
<ds:datastoreItem xmlns:ds="http://schemas.openxmlformats.org/officeDocument/2006/customXml" ds:itemID="{856F3512-625D-4270-9D2A-FC93BA5A206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F7BDE6-239D-41E0-B1E0-CC62913A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534</Words>
  <Characters>3049</Characters>
  <Application>Microsoft Office Word</Application>
  <DocSecurity>0</DocSecurity>
  <Lines>25</Lines>
  <Paragraphs>7</Paragraphs>
  <ScaleCrop>false</ScaleCrop>
  <Company>Hewlett-Packard Company</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Muhammetali ARSLAN</dc:creator>
  <cp:lastModifiedBy>pc</cp:lastModifiedBy>
  <cp:revision>41</cp:revision>
  <dcterms:created xsi:type="dcterms:W3CDTF">2015-03-25T08:10:00Z</dcterms:created>
  <dcterms:modified xsi:type="dcterms:W3CDTF">2015-03-26T08:30:00Z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y fmtid="{D5CDD505-2E9C-101B-9397-08002B2CF9AE}" pid="3" name="xd_ProgID">
    <vt:lpwstr/>
  </property>
  <property fmtid="{D5CDD505-2E9C-101B-9397-08002B2CF9AE}" pid="4" name="Order">
    <vt:r8>29600</vt:r8>
  </property>
  <property fmtid="{D5CDD505-2E9C-101B-9397-08002B2CF9AE}" pid="5" name="TemplateUrl">
    <vt:lpwstr/>
  </property>
  <property fmtid="{D5CDD505-2E9C-101B-9397-08002B2CF9AE}" pid="6" name="_SourceUrl">
    <vt:lpwstr/>
  </property>
  <property fmtid="{D5CDD505-2E9C-101B-9397-08002B2CF9AE}" pid="7" name="xd_Signature">
    <vt:bool>false</vt:bool>
  </property>
</Properties>
</file>