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020CDC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0A458B">
              <w:rPr>
                <w:rFonts w:asciiTheme="majorHAnsi" w:eastAsiaTheme="majorEastAsia" w:hAnsiTheme="majorHAnsi" w:cstheme="majorBidi"/>
                <w:sz w:val="36"/>
                <w:szCs w:val="36"/>
              </w:rPr>
              <w:t>NİSAN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Default="000A458B" w:rsidP="003D4079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22</w:t>
            </w:r>
            <w:r w:rsidR="009577E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Nisan</w:t>
            </w:r>
            <w:r w:rsidR="009577E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5B1BF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5B1BF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15B87469" wp14:editId="60568BE7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6245E5" w:rsidRPr="00586863" w:rsidRDefault="000A458B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Nisan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1FB">
        <w:rPr>
          <w:rFonts w:ascii="Times New Roman" w:hAnsi="Times New Roman" w:cs="Times New Roman"/>
          <w:b/>
          <w:sz w:val="24"/>
          <w:szCs w:val="24"/>
        </w:rPr>
        <w:t>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E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Nisan</w:t>
      </w:r>
      <w:r w:rsidR="009577E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 xml:space="preserve">Tüketici Güven Endeksi bir önceki aya göre </w:t>
      </w:r>
      <w:r w:rsidR="00F642FF">
        <w:t>sınırlı bir artış</w:t>
      </w:r>
      <w:r w:rsidR="004E7EAF">
        <w:t xml:space="preserve"> sergilemiştir</w:t>
      </w:r>
      <w:r w:rsidRPr="00586863">
        <w:t>.</w:t>
      </w:r>
    </w:p>
    <w:p w:rsidR="00586863" w:rsidRDefault="003037E9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0A458B">
        <w:rPr>
          <w:rFonts w:ascii="Times New Roman" w:hAnsi="Times New Roman" w:cs="Times New Roman"/>
          <w:sz w:val="24"/>
          <w:szCs w:val="24"/>
        </w:rPr>
        <w:t>Mart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095ABD">
        <w:rPr>
          <w:rFonts w:ascii="Times New Roman" w:hAnsi="Times New Roman" w:cs="Times New Roman"/>
          <w:sz w:val="24"/>
          <w:szCs w:val="24"/>
        </w:rPr>
        <w:t xml:space="preserve">64.39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0A458B">
        <w:rPr>
          <w:rFonts w:ascii="Times New Roman" w:hAnsi="Times New Roman" w:cs="Times New Roman"/>
          <w:sz w:val="24"/>
          <w:szCs w:val="24"/>
        </w:rPr>
        <w:t>Nisan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095ABD">
        <w:rPr>
          <w:rFonts w:ascii="Times New Roman" w:hAnsi="Times New Roman" w:cs="Times New Roman"/>
          <w:sz w:val="24"/>
          <w:szCs w:val="24"/>
        </w:rPr>
        <w:t>0.96</w:t>
      </w:r>
      <w:r w:rsidR="009577EA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3F6E65">
        <w:rPr>
          <w:rFonts w:ascii="Times New Roman" w:hAnsi="Times New Roman" w:cs="Times New Roman"/>
          <w:sz w:val="24"/>
          <w:szCs w:val="24"/>
        </w:rPr>
        <w:t>artarak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095ABD">
        <w:rPr>
          <w:rFonts w:ascii="Times New Roman" w:hAnsi="Times New Roman" w:cs="Times New Roman"/>
          <w:sz w:val="24"/>
          <w:szCs w:val="24"/>
        </w:rPr>
        <w:t xml:space="preserve">65.35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095ABD">
        <w:rPr>
          <w:rFonts w:ascii="Times New Roman" w:hAnsi="Times New Roman" w:cs="Times New Roman"/>
          <w:sz w:val="24"/>
          <w:szCs w:val="24"/>
        </w:rPr>
        <w:t>yükselmiştir</w:t>
      </w:r>
      <w:r w:rsidR="003D40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3D4079">
        <w:rPr>
          <w:rFonts w:ascii="Times New Roman" w:hAnsi="Times New Roman" w:cs="Times New Roman"/>
          <w:sz w:val="24"/>
          <w:szCs w:val="24"/>
        </w:rPr>
        <w:t>geçtiğimiz ay</w:t>
      </w:r>
      <w:r w:rsidR="00912B49">
        <w:rPr>
          <w:rFonts w:ascii="Times New Roman" w:hAnsi="Times New Roman" w:cs="Times New Roman"/>
          <w:sz w:val="24"/>
          <w:szCs w:val="24"/>
        </w:rPr>
        <w:t xml:space="preserve"> gösterdiği </w:t>
      </w:r>
      <w:r w:rsidR="00095ABD">
        <w:rPr>
          <w:rFonts w:ascii="Times New Roman" w:hAnsi="Times New Roman" w:cs="Times New Roman"/>
          <w:sz w:val="24"/>
          <w:szCs w:val="24"/>
        </w:rPr>
        <w:t>düşüşün</w:t>
      </w:r>
      <w:r w:rsidR="00912B49">
        <w:rPr>
          <w:rFonts w:ascii="Times New Roman" w:hAnsi="Times New Roman" w:cs="Times New Roman"/>
          <w:sz w:val="24"/>
          <w:szCs w:val="24"/>
        </w:rPr>
        <w:t xml:space="preserve"> ardından</w:t>
      </w:r>
      <w:r w:rsidR="002C6F9B">
        <w:rPr>
          <w:rFonts w:ascii="Times New Roman" w:hAnsi="Times New Roman" w:cs="Times New Roman"/>
          <w:sz w:val="24"/>
          <w:szCs w:val="24"/>
        </w:rPr>
        <w:t xml:space="preserve"> yeniden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095ABD">
        <w:rPr>
          <w:rFonts w:ascii="Times New Roman" w:hAnsi="Times New Roman" w:cs="Times New Roman"/>
          <w:sz w:val="24"/>
          <w:szCs w:val="24"/>
        </w:rPr>
        <w:t>sınırlı bir yükselme</w:t>
      </w:r>
      <w:r w:rsidR="003D4079">
        <w:rPr>
          <w:rFonts w:ascii="Times New Roman" w:hAnsi="Times New Roman" w:cs="Times New Roman"/>
          <w:sz w:val="24"/>
          <w:szCs w:val="24"/>
        </w:rPr>
        <w:t xml:space="preserve"> eğilimi göstermiştir</w:t>
      </w:r>
      <w:r w:rsidR="00912B49">
        <w:rPr>
          <w:rFonts w:ascii="Times New Roman" w:hAnsi="Times New Roman" w:cs="Times New Roman"/>
          <w:sz w:val="24"/>
          <w:szCs w:val="24"/>
        </w:rPr>
        <w:t>.</w:t>
      </w:r>
      <w:r w:rsidR="00AF36C5">
        <w:rPr>
          <w:rFonts w:ascii="Times New Roman" w:hAnsi="Times New Roman" w:cs="Times New Roman"/>
          <w:sz w:val="24"/>
          <w:szCs w:val="24"/>
        </w:rPr>
        <w:t xml:space="preserve"> </w:t>
      </w:r>
      <w:r w:rsidR="003D4079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r w:rsidR="00A26AA6">
        <w:rPr>
          <w:rFonts w:ascii="Times New Roman" w:hAnsi="Times New Roman" w:cs="Times New Roman"/>
          <w:sz w:val="24"/>
          <w:szCs w:val="24"/>
        </w:rPr>
        <w:t>13.15</w:t>
      </w:r>
      <w:r w:rsidR="003D4079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>puan azalış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F642FF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F9707B">
        <w:t>Ocak</w:t>
      </w:r>
      <w:r w:rsidR="009577EA">
        <w:t xml:space="preserve"> 2014</w:t>
      </w:r>
      <w:r>
        <w:t>-</w:t>
      </w:r>
      <w:r w:rsidR="000A458B">
        <w:t>Nisan</w:t>
      </w:r>
      <w:r w:rsidR="009577EA">
        <w:t xml:space="preserve"> 2015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7952824" wp14:editId="0031994A">
            <wp:extent cx="6047117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DFE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912B49">
        <w:rPr>
          <w:rFonts w:ascii="Times New Roman" w:hAnsi="Times New Roman" w:cs="Times New Roman"/>
          <w:sz w:val="24"/>
          <w:szCs w:val="24"/>
        </w:rPr>
        <w:t xml:space="preserve"> ay için hanenin maddi durum beklentisinin (</w:t>
      </w:r>
      <w:r w:rsidR="00A26AA6">
        <w:rPr>
          <w:rFonts w:ascii="Times New Roman" w:hAnsi="Times New Roman" w:cs="Times New Roman"/>
          <w:sz w:val="24"/>
          <w:szCs w:val="24"/>
        </w:rPr>
        <w:t xml:space="preserve">0.79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puan) ve </w:t>
      </w:r>
      <w:r w:rsidR="009C12C4">
        <w:rPr>
          <w:rFonts w:ascii="Times New Roman" w:hAnsi="Times New Roman" w:cs="Times New Roman"/>
          <w:sz w:val="24"/>
          <w:szCs w:val="24"/>
        </w:rPr>
        <w:t>işsiz sayısı</w:t>
      </w:r>
      <w:r>
        <w:rPr>
          <w:rFonts w:ascii="Times New Roman" w:hAnsi="Times New Roman" w:cs="Times New Roman"/>
          <w:sz w:val="24"/>
          <w:szCs w:val="24"/>
        </w:rPr>
        <w:t xml:space="preserve"> beklentisi</w:t>
      </w:r>
      <w:r w:rsidR="00912B49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9C12C4">
        <w:rPr>
          <w:rFonts w:ascii="Times New Roman" w:hAnsi="Times New Roman" w:cs="Times New Roman"/>
          <w:sz w:val="24"/>
          <w:szCs w:val="24"/>
        </w:rPr>
        <w:t>1.47 puan ) iyileştiği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4E7EAF">
        <w:rPr>
          <w:rFonts w:ascii="Times New Roman" w:hAnsi="Times New Roman" w:cs="Times New Roman"/>
          <w:sz w:val="24"/>
          <w:szCs w:val="24"/>
        </w:rPr>
        <w:t xml:space="preserve"> 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t</w:t>
      </w:r>
      <w:r w:rsidR="008D5DFE">
        <w:rPr>
          <w:rFonts w:ascii="Times New Roman" w:hAnsi="Times New Roman" w:cs="Times New Roman"/>
          <w:sz w:val="24"/>
          <w:szCs w:val="24"/>
        </w:rPr>
        <w:t>asarruf etme ihtimali</w:t>
      </w:r>
      <w:r w:rsidR="004E7EAF">
        <w:rPr>
          <w:rFonts w:ascii="Times New Roman" w:hAnsi="Times New Roman" w:cs="Times New Roman"/>
          <w:sz w:val="24"/>
          <w:szCs w:val="24"/>
        </w:rPr>
        <w:t>nin</w:t>
      </w:r>
      <w:r w:rsidR="008D5DFE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 xml:space="preserve">de </w:t>
      </w:r>
      <w:r w:rsidR="009C12C4">
        <w:rPr>
          <w:rFonts w:ascii="Times New Roman" w:hAnsi="Times New Roman" w:cs="Times New Roman"/>
          <w:sz w:val="24"/>
          <w:szCs w:val="24"/>
        </w:rPr>
        <w:t>1.76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9C12C4">
        <w:rPr>
          <w:rFonts w:ascii="Times New Roman" w:hAnsi="Times New Roman" w:cs="Times New Roman"/>
          <w:sz w:val="24"/>
          <w:szCs w:val="24"/>
        </w:rPr>
        <w:t>arttığı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9C12C4">
        <w:rPr>
          <w:rFonts w:ascii="Times New Roman" w:hAnsi="Times New Roman" w:cs="Times New Roman"/>
          <w:sz w:val="24"/>
          <w:szCs w:val="24"/>
        </w:rPr>
        <w:t>Genel ekonomik durum</w:t>
      </w:r>
      <w:r w:rsidR="00344B2B">
        <w:rPr>
          <w:rFonts w:ascii="Times New Roman" w:hAnsi="Times New Roman" w:cs="Times New Roman"/>
          <w:sz w:val="24"/>
          <w:szCs w:val="24"/>
        </w:rPr>
        <w:t xml:space="preserve"> beklentisinde ise</w:t>
      </w:r>
      <w:r w:rsidR="004E7EAF">
        <w:rPr>
          <w:rFonts w:ascii="Times New Roman" w:hAnsi="Times New Roman" w:cs="Times New Roman"/>
          <w:sz w:val="24"/>
          <w:szCs w:val="24"/>
        </w:rPr>
        <w:t xml:space="preserve"> </w:t>
      </w:r>
      <w:r w:rsidR="009C12C4">
        <w:rPr>
          <w:rFonts w:ascii="Times New Roman" w:hAnsi="Times New Roman" w:cs="Times New Roman"/>
          <w:sz w:val="24"/>
          <w:szCs w:val="24"/>
        </w:rPr>
        <w:t>0.18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 xml:space="preserve">puan </w:t>
      </w:r>
      <w:r w:rsidR="00344B2B">
        <w:rPr>
          <w:rFonts w:ascii="Times New Roman" w:hAnsi="Times New Roman" w:cs="Times New Roman"/>
          <w:sz w:val="24"/>
          <w:szCs w:val="24"/>
        </w:rPr>
        <w:t>kötüleşme</w:t>
      </w:r>
      <w:r w:rsidR="004E7EAF">
        <w:rPr>
          <w:rFonts w:ascii="Times New Roman" w:hAnsi="Times New Roman" w:cs="Times New Roman"/>
          <w:sz w:val="24"/>
          <w:szCs w:val="24"/>
        </w:rPr>
        <w:t xml:space="preserve"> yaşanmıştır.</w:t>
      </w:r>
    </w:p>
    <w:p w:rsidR="004E7EAF" w:rsidRDefault="004E7EAF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F642FF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0"/>
        <w:gridCol w:w="1224"/>
        <w:gridCol w:w="1328"/>
        <w:gridCol w:w="1328"/>
        <w:gridCol w:w="1328"/>
      </w:tblGrid>
      <w:tr w:rsidR="004E7EAF" w:rsidRPr="00DC3CEB" w:rsidTr="004E2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56" w:type="dxa"/>
            <w:gridSpan w:val="2"/>
          </w:tcPr>
          <w:p w:rsidR="004E7EAF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4E7EAF" w:rsidRPr="00415908" w:rsidTr="004E7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4E7EAF" w:rsidRPr="00415908" w:rsidRDefault="000A458B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Mart</w:t>
            </w:r>
            <w:r w:rsidR="00BB682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  <w:r w:rsidR="00E5330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328" w:type="dxa"/>
            <w:noWrap/>
            <w:hideMark/>
          </w:tcPr>
          <w:p w:rsidR="004E7EAF" w:rsidRPr="00415908" w:rsidRDefault="000A458B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Nisan</w:t>
            </w:r>
            <w:r w:rsidR="00BB682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 w:rsidR="004E7E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</w:tr>
      <w:tr w:rsidR="009C12C4" w:rsidRPr="00DC3CEB" w:rsidTr="00E53300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9C12C4" w:rsidRPr="007065F8" w:rsidRDefault="009C12C4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24" w:type="dxa"/>
            <w:noWrap/>
          </w:tcPr>
          <w:p w:rsidR="009C12C4" w:rsidRPr="004E7EAF" w:rsidRDefault="009C12C4" w:rsidP="00BB2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64.39</w:t>
            </w:r>
          </w:p>
        </w:tc>
        <w:tc>
          <w:tcPr>
            <w:tcW w:w="1328" w:type="dxa"/>
            <w:noWrap/>
          </w:tcPr>
          <w:p w:rsidR="009C12C4" w:rsidRPr="004E7EAF" w:rsidRDefault="009C12C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65.35</w:t>
            </w:r>
          </w:p>
        </w:tc>
        <w:tc>
          <w:tcPr>
            <w:tcW w:w="1328" w:type="dxa"/>
          </w:tcPr>
          <w:p w:rsidR="009C12C4" w:rsidRPr="004E7EAF" w:rsidRDefault="009C12C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-5.4</w:t>
            </w:r>
          </w:p>
        </w:tc>
        <w:tc>
          <w:tcPr>
            <w:tcW w:w="1328" w:type="dxa"/>
          </w:tcPr>
          <w:p w:rsidR="009C12C4" w:rsidRPr="004E7EAF" w:rsidRDefault="009C12C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1.5</w:t>
            </w:r>
          </w:p>
        </w:tc>
      </w:tr>
      <w:tr w:rsidR="009C12C4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9C12C4" w:rsidRPr="00DC3CEB" w:rsidRDefault="009C12C4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24" w:type="dxa"/>
            <w:noWrap/>
          </w:tcPr>
          <w:p w:rsidR="009C12C4" w:rsidRPr="00DC3CEB" w:rsidRDefault="009C12C4" w:rsidP="00BB2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85.37</w:t>
            </w:r>
          </w:p>
        </w:tc>
        <w:tc>
          <w:tcPr>
            <w:tcW w:w="1328" w:type="dxa"/>
            <w:noWrap/>
          </w:tcPr>
          <w:p w:rsidR="009C12C4" w:rsidRPr="00DC3CEB" w:rsidRDefault="009C12C4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86.16</w:t>
            </w:r>
          </w:p>
        </w:tc>
        <w:tc>
          <w:tcPr>
            <w:tcW w:w="1328" w:type="dxa"/>
          </w:tcPr>
          <w:p w:rsidR="009C12C4" w:rsidRDefault="009C12C4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-1.6</w:t>
            </w:r>
          </w:p>
        </w:tc>
        <w:tc>
          <w:tcPr>
            <w:tcW w:w="1328" w:type="dxa"/>
          </w:tcPr>
          <w:p w:rsidR="009C12C4" w:rsidRDefault="009C12C4" w:rsidP="00BB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0.9</w:t>
            </w:r>
          </w:p>
        </w:tc>
      </w:tr>
      <w:tr w:rsidR="009C12C4" w:rsidRPr="00DC3CEB" w:rsidTr="004E7EA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9C12C4" w:rsidRPr="007065F8" w:rsidRDefault="009C12C4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24" w:type="dxa"/>
            <w:noWrap/>
          </w:tcPr>
          <w:p w:rsidR="009C12C4" w:rsidRDefault="009C12C4" w:rsidP="00BB2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86.30</w:t>
            </w:r>
          </w:p>
        </w:tc>
        <w:tc>
          <w:tcPr>
            <w:tcW w:w="1328" w:type="dxa"/>
            <w:noWrap/>
          </w:tcPr>
          <w:p w:rsidR="009C12C4" w:rsidRDefault="009C12C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86.12</w:t>
            </w:r>
          </w:p>
        </w:tc>
        <w:tc>
          <w:tcPr>
            <w:tcW w:w="1328" w:type="dxa"/>
          </w:tcPr>
          <w:p w:rsidR="009C12C4" w:rsidRDefault="009C12C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-5.0</w:t>
            </w:r>
          </w:p>
        </w:tc>
        <w:tc>
          <w:tcPr>
            <w:tcW w:w="1328" w:type="dxa"/>
          </w:tcPr>
          <w:p w:rsidR="009C12C4" w:rsidRDefault="009C12C4" w:rsidP="00BB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-0.2</w:t>
            </w:r>
          </w:p>
        </w:tc>
      </w:tr>
      <w:tr w:rsidR="009C12C4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9C12C4" w:rsidRPr="00DC3CEB" w:rsidRDefault="009C12C4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24" w:type="dxa"/>
            <w:noWrap/>
          </w:tcPr>
          <w:p w:rsidR="009C12C4" w:rsidRPr="00DC3CEB" w:rsidRDefault="009C12C4" w:rsidP="00BB2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65.28</w:t>
            </w:r>
          </w:p>
        </w:tc>
        <w:tc>
          <w:tcPr>
            <w:tcW w:w="1328" w:type="dxa"/>
            <w:noWrap/>
          </w:tcPr>
          <w:p w:rsidR="009C12C4" w:rsidRPr="00DC3CEB" w:rsidRDefault="009C12C4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66.75</w:t>
            </w:r>
          </w:p>
        </w:tc>
        <w:tc>
          <w:tcPr>
            <w:tcW w:w="1328" w:type="dxa"/>
          </w:tcPr>
          <w:p w:rsidR="009C12C4" w:rsidRDefault="009C12C4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-6.3</w:t>
            </w:r>
          </w:p>
        </w:tc>
        <w:tc>
          <w:tcPr>
            <w:tcW w:w="1328" w:type="dxa"/>
          </w:tcPr>
          <w:p w:rsidR="009C12C4" w:rsidRDefault="009C12C4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2.2</w:t>
            </w:r>
          </w:p>
        </w:tc>
      </w:tr>
      <w:tr w:rsidR="009C12C4" w:rsidRPr="00DC3CEB" w:rsidTr="004E7EA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:rsidR="009C12C4" w:rsidRPr="007065F8" w:rsidRDefault="009C12C4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24" w:type="dxa"/>
            <w:noWrap/>
          </w:tcPr>
          <w:p w:rsidR="009C12C4" w:rsidRPr="00DC3CEB" w:rsidRDefault="009C12C4" w:rsidP="00BB2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20.61</w:t>
            </w:r>
          </w:p>
        </w:tc>
        <w:tc>
          <w:tcPr>
            <w:tcW w:w="1328" w:type="dxa"/>
            <w:noWrap/>
          </w:tcPr>
          <w:p w:rsidR="009C12C4" w:rsidRPr="00DC3CEB" w:rsidRDefault="009C12C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22.37</w:t>
            </w:r>
          </w:p>
        </w:tc>
        <w:tc>
          <w:tcPr>
            <w:tcW w:w="1328" w:type="dxa"/>
          </w:tcPr>
          <w:p w:rsidR="009C12C4" w:rsidRDefault="009C12C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-17.5</w:t>
            </w:r>
          </w:p>
        </w:tc>
        <w:tc>
          <w:tcPr>
            <w:tcW w:w="1328" w:type="dxa"/>
          </w:tcPr>
          <w:p w:rsidR="009C12C4" w:rsidRDefault="009C12C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8.5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0E" w:rsidRDefault="00290F0E" w:rsidP="007065F8">
      <w:pPr>
        <w:spacing w:after="0" w:line="240" w:lineRule="auto"/>
      </w:pPr>
      <w:r>
        <w:separator/>
      </w:r>
    </w:p>
  </w:endnote>
  <w:endnote w:type="continuationSeparator" w:id="0">
    <w:p w:rsidR="00290F0E" w:rsidRDefault="00290F0E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0E" w:rsidRDefault="00290F0E" w:rsidP="007065F8">
      <w:pPr>
        <w:spacing w:after="0" w:line="240" w:lineRule="auto"/>
      </w:pPr>
      <w:r>
        <w:separator/>
      </w:r>
    </w:p>
  </w:footnote>
  <w:footnote w:type="continuationSeparator" w:id="0">
    <w:p w:rsidR="00290F0E" w:rsidRDefault="00290F0E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758DE"/>
    <w:rsid w:val="00095ABD"/>
    <w:rsid w:val="000A458B"/>
    <w:rsid w:val="001871D2"/>
    <w:rsid w:val="00194C9C"/>
    <w:rsid w:val="001F27B9"/>
    <w:rsid w:val="001F424F"/>
    <w:rsid w:val="00290F0E"/>
    <w:rsid w:val="002C6F9B"/>
    <w:rsid w:val="003037E9"/>
    <w:rsid w:val="00344B2B"/>
    <w:rsid w:val="003873D8"/>
    <w:rsid w:val="003D4079"/>
    <w:rsid w:val="003F6E65"/>
    <w:rsid w:val="00404F0A"/>
    <w:rsid w:val="00421F8C"/>
    <w:rsid w:val="00482B3D"/>
    <w:rsid w:val="004A6869"/>
    <w:rsid w:val="004D2DC1"/>
    <w:rsid w:val="004E7EAF"/>
    <w:rsid w:val="004F4715"/>
    <w:rsid w:val="00507985"/>
    <w:rsid w:val="00520621"/>
    <w:rsid w:val="00564E68"/>
    <w:rsid w:val="00586863"/>
    <w:rsid w:val="005A3067"/>
    <w:rsid w:val="005B1BF7"/>
    <w:rsid w:val="006245E5"/>
    <w:rsid w:val="00630BCE"/>
    <w:rsid w:val="006A47B3"/>
    <w:rsid w:val="007065F8"/>
    <w:rsid w:val="0075084D"/>
    <w:rsid w:val="007B192F"/>
    <w:rsid w:val="007B61FB"/>
    <w:rsid w:val="00835F32"/>
    <w:rsid w:val="00866148"/>
    <w:rsid w:val="008B4BB1"/>
    <w:rsid w:val="008D482D"/>
    <w:rsid w:val="008D5DFE"/>
    <w:rsid w:val="00912B49"/>
    <w:rsid w:val="0093617F"/>
    <w:rsid w:val="009577EA"/>
    <w:rsid w:val="009A24D6"/>
    <w:rsid w:val="009A35D6"/>
    <w:rsid w:val="009C12C4"/>
    <w:rsid w:val="009D1DF7"/>
    <w:rsid w:val="009F1D4B"/>
    <w:rsid w:val="00A07D02"/>
    <w:rsid w:val="00A26AA6"/>
    <w:rsid w:val="00AF36C5"/>
    <w:rsid w:val="00B133E4"/>
    <w:rsid w:val="00B2176E"/>
    <w:rsid w:val="00B512BF"/>
    <w:rsid w:val="00B65927"/>
    <w:rsid w:val="00BB6821"/>
    <w:rsid w:val="00BD2522"/>
    <w:rsid w:val="00C9031E"/>
    <w:rsid w:val="00C9591B"/>
    <w:rsid w:val="00CC5BA0"/>
    <w:rsid w:val="00CF66DE"/>
    <w:rsid w:val="00D17FFB"/>
    <w:rsid w:val="00D24657"/>
    <w:rsid w:val="00D87E15"/>
    <w:rsid w:val="00E402F1"/>
    <w:rsid w:val="00E53300"/>
    <w:rsid w:val="00F56154"/>
    <w:rsid w:val="00F642FF"/>
    <w:rsid w:val="00F9707B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227571254202623E-2"/>
          <c:y val="5.1994125734283213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2014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72.400000000000006</c:v>
                </c:pt>
                <c:pt idx="1">
                  <c:v>69.2</c:v>
                </c:pt>
                <c:pt idx="2">
                  <c:v>72.7</c:v>
                </c:pt>
                <c:pt idx="3">
                  <c:v>78.5</c:v>
                </c:pt>
                <c:pt idx="4">
                  <c:v>76</c:v>
                </c:pt>
                <c:pt idx="5">
                  <c:v>73.7</c:v>
                </c:pt>
                <c:pt idx="6">
                  <c:v>73.900000000000006</c:v>
                </c:pt>
                <c:pt idx="7">
                  <c:v>73.2</c:v>
                </c:pt>
                <c:pt idx="8">
                  <c:v>74</c:v>
                </c:pt>
                <c:pt idx="9">
                  <c:v>70.3</c:v>
                </c:pt>
                <c:pt idx="10">
                  <c:v>68.7</c:v>
                </c:pt>
                <c:pt idx="11">
                  <c:v>67.75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5.1180477440319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898935641562747E-2"/>
                  <c:y val="5.9116985376827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67.709999999999994</c:v>
                </c:pt>
                <c:pt idx="1">
                  <c:v>68.06</c:v>
                </c:pt>
                <c:pt idx="2">
                  <c:v>64.39</c:v>
                </c:pt>
                <c:pt idx="3" formatCode="0.00">
                  <c:v>65.349999999999994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7950080"/>
        <c:axId val="87952000"/>
      </c:lineChart>
      <c:catAx>
        <c:axId val="8795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87952000"/>
        <c:crosses val="autoZero"/>
        <c:auto val="1"/>
        <c:lblAlgn val="ctr"/>
        <c:lblOffset val="100"/>
        <c:noMultiLvlLbl val="0"/>
      </c:catAx>
      <c:valAx>
        <c:axId val="87952000"/>
        <c:scaling>
          <c:orientation val="minMax"/>
          <c:min val="60"/>
        </c:scaling>
        <c:delete val="0"/>
        <c:axPos val="l"/>
        <c:numFmt formatCode="General" sourceLinked="1"/>
        <c:majorTickMark val="out"/>
        <c:minorTickMark val="none"/>
        <c:tickLblPos val="nextTo"/>
        <c:crossAx val="87950080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6</cp:revision>
  <cp:lastPrinted>2015-04-22T07:32:00Z</cp:lastPrinted>
  <dcterms:created xsi:type="dcterms:W3CDTF">2015-04-22T06:53:00Z</dcterms:created>
  <dcterms:modified xsi:type="dcterms:W3CDTF">2015-04-22T07:48:00Z</dcterms:modified>
</cp:coreProperties>
</file>